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3D8A159" w:rsidR="00837F4F" w:rsidRPr="00D2449B" w:rsidRDefault="004A53D0"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C807ABB" w:rsidR="00837F4F" w:rsidRPr="00D2449B" w:rsidRDefault="00323452" w:rsidP="00D2449B">
            <w:pPr>
              <w:jc w:val="center"/>
              <w:rPr>
                <w:rFonts w:ascii="Calibri" w:hAnsi="Calibri"/>
                <w:b/>
                <w:szCs w:val="22"/>
              </w:rPr>
            </w:pPr>
            <w:r>
              <w:rPr>
                <w:rFonts w:ascii="Calibri" w:hAnsi="Calibri"/>
                <w:b/>
                <w:szCs w:val="22"/>
              </w:rPr>
              <w:t>2</w:t>
            </w:r>
            <w:r w:rsidR="0043614D">
              <w:rPr>
                <w:rFonts w:ascii="Calibri" w:hAnsi="Calibri"/>
                <w:b/>
                <w:szCs w:val="22"/>
              </w:rPr>
              <w:t>1</w:t>
            </w:r>
            <w:r w:rsidR="004A53D0">
              <w:rPr>
                <w:rFonts w:ascii="Calibri" w:hAnsi="Calibri"/>
                <w:b/>
                <w:szCs w:val="22"/>
              </w:rPr>
              <w:t>.</w:t>
            </w:r>
            <w:r w:rsidR="0043614D">
              <w:rPr>
                <w:rFonts w:ascii="Calibri" w:hAnsi="Calibri"/>
                <w:b/>
                <w:szCs w:val="22"/>
              </w:rPr>
              <w:t>5</w:t>
            </w:r>
            <w:r w:rsidR="004A53D0">
              <w:rPr>
                <w:rFonts w:ascii="Calibri" w:hAnsi="Calibri"/>
                <w:b/>
                <w:szCs w:val="22"/>
              </w:rPr>
              <w:t>.2</w:t>
            </w:r>
            <w:r w:rsidR="0043614D">
              <w:rPr>
                <w:rFonts w:ascii="Calibri" w:hAnsi="Calibri"/>
                <w:b/>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C08B917" w:rsidR="00837F4F" w:rsidRPr="00D2449B" w:rsidRDefault="00D425E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38FDF2C" w:rsidR="00837F4F" w:rsidRPr="00D2449B" w:rsidRDefault="00D425E8" w:rsidP="00D2449B">
            <w:pPr>
              <w:jc w:val="center"/>
              <w:rPr>
                <w:rFonts w:ascii="Calibri" w:hAnsi="Calibri"/>
                <w:b/>
                <w:szCs w:val="22"/>
              </w:rPr>
            </w:pPr>
            <w:r>
              <w:rPr>
                <w:rFonts w:ascii="Calibri" w:hAnsi="Calibri"/>
                <w:b/>
                <w:szCs w:val="22"/>
              </w:rPr>
              <w:t>23/5/24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740BA62" w:rsidR="004A5EA9" w:rsidRPr="00250879" w:rsidRDefault="004A53D0" w:rsidP="008542DE">
            <w:pPr>
              <w:rPr>
                <w:rFonts w:ascii="Calibri" w:hAnsi="Calibri"/>
                <w:color w:val="548DD4" w:themeColor="text2" w:themeTint="99"/>
                <w:szCs w:val="22"/>
              </w:rPr>
            </w:pPr>
            <w:r>
              <w:rPr>
                <w:rFonts w:ascii="Calibri" w:hAnsi="Calibri"/>
                <w:szCs w:val="22"/>
              </w:rPr>
              <w:t>202</w:t>
            </w:r>
            <w:r w:rsidR="0043614D">
              <w:rPr>
                <w:rFonts w:ascii="Calibri" w:hAnsi="Calibri"/>
                <w:szCs w:val="22"/>
              </w:rPr>
              <w:t>4</w:t>
            </w:r>
            <w:r>
              <w:rPr>
                <w:rFonts w:ascii="Calibri" w:hAnsi="Calibri"/>
                <w:szCs w:val="22"/>
              </w:rPr>
              <w:t>/0</w:t>
            </w:r>
            <w:r w:rsidR="0043614D">
              <w:rPr>
                <w:rFonts w:ascii="Calibri" w:hAnsi="Calibri"/>
                <w:szCs w:val="22"/>
              </w:rPr>
              <w:t>353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C5023AC" w:rsidR="00824DB6" w:rsidRPr="00C0704D" w:rsidRDefault="004A53D0"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B870C7" w:rsidR="00824DB6" w:rsidRPr="004A53D0" w:rsidRDefault="004A53D0" w:rsidP="002C6277">
            <w:pPr>
              <w:rPr>
                <w:rFonts w:ascii="Calibri" w:hAnsi="Calibri"/>
                <w:szCs w:val="22"/>
              </w:rPr>
            </w:pPr>
            <w:r w:rsidRPr="004A53D0">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4A53D0" w:rsidRDefault="00D2449B">
            <w:pPr>
              <w:rPr>
                <w:rFonts w:ascii="Calibri" w:hAnsi="Calibri"/>
                <w:b/>
                <w:szCs w:val="22"/>
              </w:rPr>
            </w:pPr>
            <w:r w:rsidRPr="004A53D0">
              <w:rPr>
                <w:rFonts w:ascii="Calibri" w:hAnsi="Calibri"/>
                <w:b/>
                <w:szCs w:val="22"/>
              </w:rPr>
              <w:t>Officer</w:t>
            </w:r>
            <w:r w:rsidR="004A5EA9" w:rsidRPr="004A53D0">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4A5A5A" w:rsidR="004A5EA9" w:rsidRPr="004A53D0" w:rsidRDefault="004A53D0" w:rsidP="00811771">
            <w:pPr>
              <w:rPr>
                <w:rFonts w:ascii="Calibri" w:hAnsi="Calibri"/>
                <w:szCs w:val="22"/>
              </w:rPr>
            </w:pPr>
            <w:r w:rsidRPr="004A53D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6856A5" w:rsidR="004A5EA9" w:rsidRPr="002C6277" w:rsidRDefault="0043614D" w:rsidP="004A53D0">
            <w:pPr>
              <w:jc w:val="both"/>
              <w:rPr>
                <w:rFonts w:ascii="Calibri" w:hAnsi="Calibri"/>
                <w:szCs w:val="22"/>
              </w:rPr>
            </w:pPr>
            <w:r w:rsidRPr="0043614D">
              <w:rPr>
                <w:rFonts w:ascii="Calibri" w:hAnsi="Calibri"/>
                <w:szCs w:val="22"/>
              </w:rPr>
              <w:t>Certificate of Lawfulness to establish commencement of planning permission 3/2023/0584 and 3/2023/058</w:t>
            </w:r>
            <w:r w:rsidR="002324B1">
              <w:rPr>
                <w:rFonts w:ascii="Calibri" w:hAnsi="Calibri"/>
                <w:szCs w:val="22"/>
              </w:rPr>
              <w:t>5</w:t>
            </w:r>
            <w:r w:rsidRPr="0043614D">
              <w:rPr>
                <w:rFonts w:ascii="Calibri" w:hAnsi="Calibri"/>
                <w:szCs w:val="22"/>
              </w:rPr>
              <w:t xml:space="preserve"> for the demolition of 74 Higher Road and construction of up to 123 houses on land to the rear.</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B851D15" w:rsidR="002A01CF" w:rsidRPr="002C6277" w:rsidRDefault="0043614D" w:rsidP="004A53D0">
            <w:pPr>
              <w:jc w:val="both"/>
              <w:rPr>
                <w:rFonts w:ascii="Calibri" w:hAnsi="Calibri"/>
                <w:szCs w:val="22"/>
              </w:rPr>
            </w:pPr>
            <w:r w:rsidRPr="0043614D">
              <w:rPr>
                <w:rFonts w:ascii="Calibri" w:hAnsi="Calibri"/>
                <w:szCs w:val="22"/>
              </w:rPr>
              <w:t>74 Higher Road Longridge PR3 3SY and land to the rear.</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3929F5A" w:rsidR="002A01CF" w:rsidRPr="004A53D0" w:rsidRDefault="00323452">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24EE0AB" w:rsidR="002A01CF" w:rsidRPr="00D2449B" w:rsidRDefault="004A53D0">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F6211B0" w:rsidR="00C0704D" w:rsidRPr="00C0704D" w:rsidRDefault="004A53D0" w:rsidP="00D74711">
            <w:pPr>
              <w:rPr>
                <w:rFonts w:ascii="Calibri" w:hAnsi="Calibri"/>
                <w:szCs w:val="22"/>
              </w:rPr>
            </w:pPr>
            <w:r>
              <w:rPr>
                <w:rFonts w:ascii="Calibri" w:hAnsi="Calibri"/>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816117F" w:rsidR="00C0704D" w:rsidRPr="00C0704D" w:rsidRDefault="004A53D0" w:rsidP="00692B60">
            <w:pPr>
              <w:rPr>
                <w:rFonts w:ascii="Calibri" w:hAnsi="Calibri"/>
                <w:szCs w:val="22"/>
              </w:rPr>
            </w:pPr>
            <w:r w:rsidRPr="004A53D0">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E385C5" w14:textId="77777777" w:rsidR="00323452" w:rsidRDefault="00323452" w:rsidP="00323452">
            <w:pPr>
              <w:pStyle w:val="PLANNING"/>
              <w:rPr>
                <w:rFonts w:ascii="Calibri" w:hAnsi="Calibri"/>
                <w:b/>
                <w:bCs/>
                <w:szCs w:val="22"/>
              </w:rPr>
            </w:pPr>
          </w:p>
          <w:p w14:paraId="6473183D" w14:textId="4992A842" w:rsidR="0043614D" w:rsidRDefault="0043614D" w:rsidP="00323452">
            <w:pPr>
              <w:pStyle w:val="PLANNING"/>
              <w:rPr>
                <w:rFonts w:ascii="Calibri" w:hAnsi="Calibri"/>
                <w:b/>
                <w:bCs/>
                <w:szCs w:val="22"/>
              </w:rPr>
            </w:pPr>
            <w:r w:rsidRPr="0043614D">
              <w:rPr>
                <w:rFonts w:ascii="Calibri" w:hAnsi="Calibri"/>
                <w:szCs w:val="22"/>
              </w:rPr>
              <w:t>Section 191</w:t>
            </w:r>
            <w:r>
              <w:rPr>
                <w:rFonts w:ascii="Calibri" w:hAnsi="Calibri"/>
                <w:b/>
                <w:bCs/>
                <w:szCs w:val="22"/>
              </w:rPr>
              <w:t xml:space="preserve"> </w:t>
            </w:r>
            <w:r w:rsidRPr="00323452">
              <w:rPr>
                <w:rFonts w:ascii="Calibri" w:hAnsi="Calibri"/>
                <w:szCs w:val="22"/>
              </w:rPr>
              <w:t>of the Town and Country Planning Act 1990.</w:t>
            </w:r>
          </w:p>
          <w:p w14:paraId="19710BA4" w14:textId="0B2F1273" w:rsidR="00323452" w:rsidRPr="00323452" w:rsidRDefault="00323452" w:rsidP="00323452">
            <w:pPr>
              <w:pStyle w:val="PLANNING"/>
              <w:rPr>
                <w:rFonts w:ascii="Calibri" w:hAnsi="Calibri"/>
                <w:szCs w:val="22"/>
              </w:rPr>
            </w:pPr>
            <w:r w:rsidRPr="00323452">
              <w:rPr>
                <w:rFonts w:ascii="Calibri" w:hAnsi="Calibri"/>
                <w:szCs w:val="22"/>
              </w:rPr>
              <w:t>Section 56 of the Town and Country Planning Act 1990.</w:t>
            </w:r>
          </w:p>
          <w:p w14:paraId="18367B1D" w14:textId="21F6F065" w:rsidR="008542DE" w:rsidRPr="00323452" w:rsidRDefault="004A53D0" w:rsidP="00323452">
            <w:pPr>
              <w:pStyle w:val="PLANNING"/>
              <w:rPr>
                <w:rFonts w:ascii="Calibri" w:hAnsi="Calibri"/>
                <w:szCs w:val="22"/>
              </w:rPr>
            </w:pPr>
            <w:r w:rsidRPr="00323452">
              <w:rPr>
                <w:rFonts w:ascii="Calibri" w:hAnsi="Calibri"/>
                <w:szCs w:val="22"/>
              </w:rPr>
              <w:t>National Planning Practice Guidance: Lawful development certificates</w:t>
            </w:r>
          </w:p>
          <w:p w14:paraId="6C4C318E" w14:textId="6CDB14C5" w:rsidR="004A53D0" w:rsidRPr="004A53D0" w:rsidRDefault="004A53D0" w:rsidP="004A53D0">
            <w:pPr>
              <w:pStyle w:val="PLANNING"/>
              <w:ind w:left="720"/>
              <w:rPr>
                <w:rFonts w:ascii="Calibri" w:hAnsi="Calibri"/>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B1FE120" w14:textId="7CDCDCF9" w:rsidR="0043614D" w:rsidRDefault="0043614D" w:rsidP="00C0704D">
            <w:pPr>
              <w:pStyle w:val="PLANNING"/>
              <w:rPr>
                <w:rFonts w:ascii="Calibri" w:hAnsi="Calibri"/>
                <w:b/>
                <w:bCs/>
                <w:szCs w:val="22"/>
              </w:rPr>
            </w:pPr>
            <w:r>
              <w:rPr>
                <w:rFonts w:ascii="Calibri" w:hAnsi="Calibri"/>
                <w:b/>
                <w:bCs/>
                <w:szCs w:val="22"/>
              </w:rPr>
              <w:t>3/2023/0585:</w:t>
            </w:r>
          </w:p>
          <w:p w14:paraId="2F4D3AB6" w14:textId="4516D50B" w:rsidR="0043614D" w:rsidRPr="0043614D" w:rsidRDefault="0043614D" w:rsidP="00C0704D">
            <w:pPr>
              <w:pStyle w:val="PLANNING"/>
              <w:rPr>
                <w:rFonts w:ascii="Calibri" w:hAnsi="Calibri"/>
                <w:szCs w:val="22"/>
              </w:rPr>
            </w:pPr>
            <w:r w:rsidRPr="0043614D">
              <w:rPr>
                <w:rFonts w:ascii="Calibri" w:hAnsi="Calibri"/>
                <w:szCs w:val="22"/>
              </w:rPr>
              <w:t>Application for reserved matters consent (appearance, scale, landscaping and layout) pursuant to outline planning consent (ref 3/2016/1082) for the demolition of 74 Higher Road and construction of up to 123 houses on land to the rear pursuant to variation of conditions 10 (boundary treatments) and 11 (play areas and play equipment) from planning permission 3/2021/0556.  (Approved)</w:t>
            </w:r>
          </w:p>
          <w:p w14:paraId="272992F0" w14:textId="77777777" w:rsidR="0043614D" w:rsidRDefault="0043614D" w:rsidP="00C0704D">
            <w:pPr>
              <w:pStyle w:val="PLANNING"/>
              <w:rPr>
                <w:rFonts w:ascii="Calibri" w:hAnsi="Calibri"/>
                <w:b/>
                <w:bCs/>
                <w:szCs w:val="22"/>
              </w:rPr>
            </w:pPr>
          </w:p>
          <w:p w14:paraId="426CFD63" w14:textId="4B921C39" w:rsidR="0043614D" w:rsidRDefault="0043614D" w:rsidP="00C0704D">
            <w:pPr>
              <w:pStyle w:val="PLANNING"/>
              <w:rPr>
                <w:rFonts w:ascii="Calibri" w:hAnsi="Calibri"/>
                <w:b/>
                <w:bCs/>
                <w:szCs w:val="22"/>
              </w:rPr>
            </w:pPr>
            <w:r>
              <w:rPr>
                <w:rFonts w:ascii="Calibri" w:hAnsi="Calibri"/>
                <w:b/>
                <w:bCs/>
                <w:szCs w:val="22"/>
              </w:rPr>
              <w:t>3/2023/0584:</w:t>
            </w:r>
          </w:p>
          <w:p w14:paraId="39A13FD2" w14:textId="7E93D3CA" w:rsidR="0043614D" w:rsidRPr="0043614D" w:rsidRDefault="0043614D" w:rsidP="00C0704D">
            <w:pPr>
              <w:pStyle w:val="PLANNING"/>
              <w:rPr>
                <w:rFonts w:ascii="Calibri" w:hAnsi="Calibri"/>
                <w:szCs w:val="22"/>
              </w:rPr>
            </w:pPr>
            <w:r w:rsidRPr="0043614D">
              <w:rPr>
                <w:rFonts w:ascii="Calibri" w:hAnsi="Calibri"/>
                <w:szCs w:val="22"/>
              </w:rPr>
              <w:t>Application for outline consent for demolition of 74 Higher Road and construction of up to 123 houses on land to the rear, including access (pursuant to variation of condition 12 (pedestrian and vehicular access) from planning permission 3/2016/1082 granted on appeal).  (Approved)</w:t>
            </w:r>
          </w:p>
          <w:p w14:paraId="736D1309" w14:textId="77777777" w:rsidR="0043614D" w:rsidRDefault="0043614D" w:rsidP="00C0704D">
            <w:pPr>
              <w:pStyle w:val="PLANNING"/>
              <w:rPr>
                <w:rFonts w:ascii="Calibri" w:hAnsi="Calibri"/>
                <w:b/>
                <w:bCs/>
                <w:szCs w:val="22"/>
              </w:rPr>
            </w:pPr>
          </w:p>
          <w:p w14:paraId="7740B18F" w14:textId="354514BD" w:rsidR="004A53D0" w:rsidRPr="0043614D" w:rsidRDefault="004A53D0" w:rsidP="00C0704D">
            <w:pPr>
              <w:pStyle w:val="PLANNING"/>
              <w:rPr>
                <w:rFonts w:ascii="Calibri" w:hAnsi="Calibri"/>
                <w:b/>
                <w:bCs/>
                <w:szCs w:val="22"/>
              </w:rPr>
            </w:pPr>
            <w:r w:rsidRPr="0043614D">
              <w:rPr>
                <w:rFonts w:ascii="Calibri" w:hAnsi="Calibri"/>
                <w:b/>
                <w:bCs/>
                <w:szCs w:val="22"/>
              </w:rPr>
              <w:t>3/202</w:t>
            </w:r>
            <w:r w:rsidR="0043614D" w:rsidRPr="0043614D">
              <w:rPr>
                <w:rFonts w:ascii="Calibri" w:hAnsi="Calibri"/>
                <w:b/>
                <w:bCs/>
                <w:szCs w:val="22"/>
              </w:rPr>
              <w:t>3</w:t>
            </w:r>
            <w:r w:rsidRPr="0043614D">
              <w:rPr>
                <w:rFonts w:ascii="Calibri" w:hAnsi="Calibri"/>
                <w:b/>
                <w:bCs/>
                <w:szCs w:val="22"/>
              </w:rPr>
              <w:t>/</w:t>
            </w:r>
            <w:r w:rsidR="0043614D" w:rsidRPr="0043614D">
              <w:rPr>
                <w:rFonts w:ascii="Calibri" w:hAnsi="Calibri"/>
                <w:b/>
                <w:bCs/>
                <w:szCs w:val="22"/>
              </w:rPr>
              <w:t>0583:</w:t>
            </w:r>
          </w:p>
          <w:p w14:paraId="33C41B98" w14:textId="32E8532D" w:rsidR="00323452" w:rsidRDefault="0043614D" w:rsidP="00C0704D">
            <w:pPr>
              <w:pStyle w:val="PLANNING"/>
              <w:rPr>
                <w:rFonts w:ascii="Calibri" w:hAnsi="Calibri"/>
                <w:color w:val="FF0000"/>
                <w:szCs w:val="22"/>
              </w:rPr>
            </w:pPr>
            <w:r w:rsidRPr="0043614D">
              <w:rPr>
                <w:rFonts w:ascii="Calibri" w:hAnsi="Calibri"/>
                <w:szCs w:val="22"/>
              </w:rPr>
              <w:t>Approval of details reserved by conditions 13 (bird and bat boxes), 14 (ecological mitigation) and 15 (construction method statement) from planning permission 3/2016/1082 granted on appeal.  (Approved</w:t>
            </w:r>
            <w:r>
              <w:rPr>
                <w:rFonts w:ascii="Calibri" w:hAnsi="Calibri"/>
                <w:color w:val="FF0000"/>
                <w:szCs w:val="22"/>
              </w:rPr>
              <w:t>)</w:t>
            </w:r>
          </w:p>
          <w:p w14:paraId="4B5F077B" w14:textId="77777777" w:rsidR="0043614D" w:rsidRPr="0043614D" w:rsidRDefault="0043614D" w:rsidP="00C0704D">
            <w:pPr>
              <w:pStyle w:val="PLANNING"/>
              <w:rPr>
                <w:rFonts w:ascii="Calibri" w:hAnsi="Calibri"/>
                <w:b/>
                <w:bCs/>
                <w:color w:val="FF0000"/>
                <w:szCs w:val="22"/>
              </w:rPr>
            </w:pPr>
          </w:p>
          <w:p w14:paraId="32ECA241" w14:textId="1BB6E843" w:rsidR="004A53D0" w:rsidRPr="0043614D" w:rsidRDefault="004A53D0" w:rsidP="004A53D0">
            <w:pPr>
              <w:pStyle w:val="PLANNING"/>
              <w:rPr>
                <w:rFonts w:ascii="Calibri" w:hAnsi="Calibri"/>
                <w:b/>
                <w:bCs/>
                <w:szCs w:val="22"/>
              </w:rPr>
            </w:pPr>
            <w:r w:rsidRPr="0043614D">
              <w:rPr>
                <w:rFonts w:ascii="Calibri" w:hAnsi="Calibri"/>
                <w:b/>
                <w:bCs/>
                <w:szCs w:val="22"/>
              </w:rPr>
              <w:t>3/202</w:t>
            </w:r>
            <w:r w:rsidR="0043614D" w:rsidRPr="0043614D">
              <w:rPr>
                <w:rFonts w:ascii="Calibri" w:hAnsi="Calibri"/>
                <w:b/>
                <w:bCs/>
                <w:szCs w:val="22"/>
              </w:rPr>
              <w:t>1</w:t>
            </w:r>
            <w:r w:rsidRPr="0043614D">
              <w:rPr>
                <w:rFonts w:ascii="Calibri" w:hAnsi="Calibri"/>
                <w:b/>
                <w:bCs/>
                <w:szCs w:val="22"/>
              </w:rPr>
              <w:t>/</w:t>
            </w:r>
            <w:r w:rsidR="0043614D" w:rsidRPr="0043614D">
              <w:rPr>
                <w:rFonts w:ascii="Calibri" w:hAnsi="Calibri"/>
                <w:b/>
                <w:bCs/>
                <w:szCs w:val="22"/>
              </w:rPr>
              <w:t>0556</w:t>
            </w:r>
            <w:r w:rsidRPr="0043614D">
              <w:rPr>
                <w:rFonts w:ascii="Calibri" w:hAnsi="Calibri"/>
                <w:b/>
                <w:bCs/>
                <w:szCs w:val="22"/>
              </w:rPr>
              <w:t>:</w:t>
            </w:r>
          </w:p>
          <w:p w14:paraId="5C0CD0DC" w14:textId="63A86545" w:rsidR="0046548C" w:rsidRPr="0043614D" w:rsidRDefault="0043614D" w:rsidP="00323452">
            <w:pPr>
              <w:pStyle w:val="PLANNING"/>
              <w:rPr>
                <w:rFonts w:ascii="Calibri" w:hAnsi="Calibri"/>
                <w:szCs w:val="22"/>
              </w:rPr>
            </w:pPr>
            <w:r w:rsidRPr="0043614D">
              <w:rPr>
                <w:rFonts w:ascii="Calibri" w:hAnsi="Calibri"/>
                <w:szCs w:val="22"/>
              </w:rPr>
              <w:lastRenderedPageBreak/>
              <w:t xml:space="preserve">Application for reserved matters consent (appearance, scale, landscaping and layout) pursuant to outline planning consent (ref 3/2016/1082) for the demolition of 74 Higher Road and construction of up to 123 houses on land to the rear. </w:t>
            </w:r>
            <w:r w:rsidR="00323452" w:rsidRPr="0043614D">
              <w:rPr>
                <w:rFonts w:ascii="Calibri" w:hAnsi="Calibri"/>
                <w:szCs w:val="22"/>
              </w:rPr>
              <w:t>(Approved)</w:t>
            </w:r>
          </w:p>
          <w:p w14:paraId="5F20BA10" w14:textId="77777777" w:rsidR="00323452" w:rsidRPr="0043614D" w:rsidRDefault="00323452" w:rsidP="00323452">
            <w:pPr>
              <w:pStyle w:val="PLANNING"/>
              <w:rPr>
                <w:rFonts w:ascii="Calibri" w:hAnsi="Calibri"/>
                <w:color w:val="FF0000"/>
                <w:szCs w:val="22"/>
              </w:rPr>
            </w:pPr>
          </w:p>
          <w:p w14:paraId="54EAEFDF" w14:textId="00FA6D34" w:rsidR="00323452" w:rsidRPr="0043614D" w:rsidRDefault="00323452" w:rsidP="00323452">
            <w:pPr>
              <w:pStyle w:val="PLANNING"/>
              <w:rPr>
                <w:rFonts w:ascii="Calibri" w:hAnsi="Calibri"/>
                <w:b/>
                <w:bCs/>
                <w:szCs w:val="22"/>
              </w:rPr>
            </w:pPr>
            <w:r w:rsidRPr="0043614D">
              <w:rPr>
                <w:rFonts w:ascii="Calibri" w:hAnsi="Calibri"/>
                <w:b/>
                <w:bCs/>
                <w:szCs w:val="22"/>
              </w:rPr>
              <w:t>3/201</w:t>
            </w:r>
            <w:r w:rsidR="0043614D" w:rsidRPr="0043614D">
              <w:rPr>
                <w:rFonts w:ascii="Calibri" w:hAnsi="Calibri"/>
                <w:b/>
                <w:bCs/>
                <w:szCs w:val="22"/>
              </w:rPr>
              <w:t>6</w:t>
            </w:r>
            <w:r w:rsidRPr="0043614D">
              <w:rPr>
                <w:rFonts w:ascii="Calibri" w:hAnsi="Calibri"/>
                <w:b/>
                <w:bCs/>
                <w:szCs w:val="22"/>
              </w:rPr>
              <w:t>/</w:t>
            </w:r>
            <w:r w:rsidR="0043614D" w:rsidRPr="0043614D">
              <w:rPr>
                <w:rFonts w:ascii="Calibri" w:hAnsi="Calibri"/>
                <w:b/>
                <w:bCs/>
                <w:szCs w:val="22"/>
              </w:rPr>
              <w:t>1082:</w:t>
            </w:r>
          </w:p>
          <w:p w14:paraId="155D3CC7" w14:textId="0B7611C3" w:rsidR="00323452" w:rsidRPr="0043614D" w:rsidRDefault="0043614D" w:rsidP="00323452">
            <w:pPr>
              <w:pStyle w:val="PLANNING"/>
              <w:rPr>
                <w:rFonts w:ascii="Calibri" w:hAnsi="Calibri"/>
                <w:szCs w:val="22"/>
              </w:rPr>
            </w:pPr>
            <w:r w:rsidRPr="0043614D">
              <w:rPr>
                <w:rFonts w:ascii="Calibri" w:hAnsi="Calibri"/>
                <w:szCs w:val="22"/>
              </w:rPr>
              <w:t>Application for outline consent for demolition of 74 Higher Road and construction of up to 123 houses on land to the rear, including access</w:t>
            </w:r>
            <w:r w:rsidR="00323452" w:rsidRPr="0043614D">
              <w:rPr>
                <w:rFonts w:ascii="Calibri" w:hAnsi="Calibri"/>
                <w:szCs w:val="22"/>
              </w:rPr>
              <w:t>.  (</w:t>
            </w:r>
            <w:r w:rsidRPr="0043614D">
              <w:rPr>
                <w:rFonts w:ascii="Calibri" w:hAnsi="Calibri"/>
                <w:szCs w:val="22"/>
              </w:rPr>
              <w:t>Refused</w:t>
            </w:r>
            <w:r w:rsidR="00323452" w:rsidRPr="0043614D">
              <w:rPr>
                <w:rFonts w:ascii="Calibri" w:hAnsi="Calibri"/>
                <w:szCs w:val="22"/>
              </w:rPr>
              <w:t>)</w:t>
            </w:r>
            <w:r>
              <w:rPr>
                <w:rFonts w:ascii="Calibri" w:hAnsi="Calibri"/>
                <w:szCs w:val="22"/>
              </w:rPr>
              <w:t xml:space="preserve"> </w:t>
            </w:r>
            <w:r w:rsidRPr="0043614D">
              <w:rPr>
                <w:rFonts w:ascii="Calibri" w:hAnsi="Calibri"/>
                <w:szCs w:val="22"/>
              </w:rPr>
              <w:t>(Appeal Allowed)</w:t>
            </w:r>
          </w:p>
          <w:p w14:paraId="17147D50" w14:textId="1B19B3D1" w:rsidR="00323452" w:rsidRPr="00D2449B" w:rsidRDefault="00323452" w:rsidP="00323452">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0781399F" w14:textId="77777777" w:rsidR="00B23252" w:rsidRPr="00B23252" w:rsidRDefault="00B23252" w:rsidP="00B23252">
            <w:pPr>
              <w:rPr>
                <w:rFonts w:ascii="Calibri" w:hAnsi="Calibri"/>
                <w:color w:val="FF0000"/>
                <w:szCs w:val="22"/>
              </w:rPr>
            </w:pPr>
          </w:p>
          <w:p w14:paraId="5DAC8B40" w14:textId="5BB902F3" w:rsidR="00C0704D" w:rsidRPr="00A901D8" w:rsidRDefault="00323452" w:rsidP="00323452">
            <w:pPr>
              <w:jc w:val="both"/>
              <w:rPr>
                <w:rFonts w:ascii="Calibri" w:hAnsi="Calibri"/>
                <w:szCs w:val="22"/>
              </w:rPr>
            </w:pPr>
            <w:r w:rsidRPr="00A901D8">
              <w:rPr>
                <w:rFonts w:ascii="Calibri" w:hAnsi="Calibri"/>
                <w:szCs w:val="22"/>
              </w:rPr>
              <w:t xml:space="preserve">The application seeks clarification that operational works undertaken on site, pursuant to </w:t>
            </w:r>
            <w:r w:rsidR="00A901D8" w:rsidRPr="00A901D8">
              <w:rPr>
                <w:rFonts w:ascii="Calibri" w:hAnsi="Calibri"/>
                <w:szCs w:val="22"/>
              </w:rPr>
              <w:t>outline planning consent 3/2016/1082 and subsequent associated Section 73 (Variation of Condition) consents 3/2023/0584 and 3/2023/0585</w:t>
            </w:r>
            <w:r w:rsidRPr="00A901D8">
              <w:rPr>
                <w:rFonts w:ascii="Calibri" w:hAnsi="Calibri"/>
                <w:szCs w:val="22"/>
              </w:rPr>
              <w:t>, constitute commencement of development (material operations) as defined within Section 56 of the Town and Country Planning Act.</w:t>
            </w:r>
          </w:p>
          <w:p w14:paraId="1B20488F" w14:textId="13D7395B" w:rsidR="00323452" w:rsidRPr="00D54E67" w:rsidRDefault="00323452"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1AABB78" w:rsidR="0046548C" w:rsidRDefault="004A53D0" w:rsidP="0046548C">
            <w:pPr>
              <w:pStyle w:val="Header"/>
              <w:tabs>
                <w:tab w:val="clear" w:pos="4153"/>
                <w:tab w:val="clear" w:pos="8306"/>
              </w:tabs>
              <w:contextualSpacing/>
              <w:jc w:val="both"/>
              <w:rPr>
                <w:rFonts w:ascii="Calibri" w:hAnsi="Calibri"/>
                <w:b/>
                <w:szCs w:val="22"/>
              </w:rPr>
            </w:pPr>
            <w:r>
              <w:rPr>
                <w:rFonts w:ascii="Calibri" w:hAnsi="Calibri"/>
                <w:b/>
                <w:szCs w:val="22"/>
              </w:rPr>
              <w:t>Assessment of Proposal:</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06794F6" w14:textId="653FCD6F" w:rsidR="002324B1" w:rsidRPr="002324B1" w:rsidRDefault="00B23252" w:rsidP="00B23252">
            <w:pPr>
              <w:pStyle w:val="Header"/>
              <w:tabs>
                <w:tab w:val="clear" w:pos="4153"/>
                <w:tab w:val="clear" w:pos="8306"/>
              </w:tabs>
              <w:contextualSpacing/>
              <w:jc w:val="both"/>
              <w:rPr>
                <w:rFonts w:ascii="Calibri" w:hAnsi="Calibri"/>
                <w:bCs/>
                <w:szCs w:val="22"/>
              </w:rPr>
            </w:pPr>
            <w:r w:rsidRPr="002324B1">
              <w:rPr>
                <w:rFonts w:ascii="Calibri" w:hAnsi="Calibri"/>
                <w:bCs/>
                <w:szCs w:val="22"/>
              </w:rPr>
              <w:t xml:space="preserve">The application seeks to establish that operations/works carried </w:t>
            </w:r>
            <w:r w:rsidR="00C07428" w:rsidRPr="002324B1">
              <w:rPr>
                <w:rFonts w:ascii="Calibri" w:hAnsi="Calibri"/>
                <w:bCs/>
                <w:szCs w:val="22"/>
              </w:rPr>
              <w:t xml:space="preserve">for the </w:t>
            </w:r>
            <w:r w:rsidR="002324B1" w:rsidRPr="002324B1">
              <w:rPr>
                <w:rFonts w:ascii="Calibri" w:hAnsi="Calibri"/>
                <w:bCs/>
                <w:szCs w:val="22"/>
              </w:rPr>
              <w:t>demolition of a domestic garage associated with number 74 Higher Road constitutes</w:t>
            </w:r>
            <w:r w:rsidR="00BE6B34" w:rsidRPr="002324B1">
              <w:rPr>
                <w:rFonts w:ascii="Calibri" w:hAnsi="Calibri"/>
                <w:bCs/>
                <w:szCs w:val="22"/>
              </w:rPr>
              <w:t xml:space="preserve"> commencement of development pursuant to </w:t>
            </w:r>
            <w:r w:rsidR="00A901D8">
              <w:rPr>
                <w:rFonts w:ascii="Calibri" w:hAnsi="Calibri"/>
                <w:bCs/>
                <w:szCs w:val="22"/>
              </w:rPr>
              <w:t xml:space="preserve">outline </w:t>
            </w:r>
            <w:r w:rsidR="00BE6B34" w:rsidRPr="002324B1">
              <w:rPr>
                <w:rFonts w:ascii="Calibri" w:hAnsi="Calibri"/>
                <w:bCs/>
                <w:szCs w:val="22"/>
              </w:rPr>
              <w:t xml:space="preserve">planning consent </w:t>
            </w:r>
            <w:r w:rsidR="002324B1" w:rsidRPr="002324B1">
              <w:rPr>
                <w:rFonts w:ascii="Calibri" w:hAnsi="Calibri"/>
                <w:bCs/>
                <w:szCs w:val="22"/>
              </w:rPr>
              <w:t xml:space="preserve">planning </w:t>
            </w:r>
            <w:r w:rsidR="00BE6B34" w:rsidRPr="002324B1">
              <w:rPr>
                <w:rFonts w:ascii="Calibri" w:hAnsi="Calibri"/>
                <w:bCs/>
                <w:szCs w:val="22"/>
              </w:rPr>
              <w:t>3/</w:t>
            </w:r>
            <w:r w:rsidR="002324B1" w:rsidRPr="002324B1">
              <w:rPr>
                <w:rFonts w:ascii="Calibri" w:hAnsi="Calibri"/>
                <w:bCs/>
                <w:szCs w:val="22"/>
              </w:rPr>
              <w:t>2016/1082 and subsequent associated Section 73 (Variation of Condition) consent</w:t>
            </w:r>
            <w:r w:rsidR="00F92C57">
              <w:rPr>
                <w:rFonts w:ascii="Calibri" w:hAnsi="Calibri"/>
                <w:bCs/>
                <w:szCs w:val="22"/>
              </w:rPr>
              <w:t xml:space="preserve">s 3/2023/0584 and </w:t>
            </w:r>
            <w:r w:rsidR="002324B1" w:rsidRPr="002324B1">
              <w:rPr>
                <w:rFonts w:ascii="Calibri" w:hAnsi="Calibri"/>
                <w:bCs/>
                <w:szCs w:val="22"/>
              </w:rPr>
              <w:t>3/2023/0585</w:t>
            </w:r>
            <w:r w:rsidR="002324B1">
              <w:rPr>
                <w:rFonts w:ascii="Calibri" w:hAnsi="Calibri"/>
                <w:bCs/>
                <w:szCs w:val="22"/>
              </w:rPr>
              <w:t>.</w:t>
            </w:r>
          </w:p>
          <w:p w14:paraId="2F7019C2" w14:textId="77777777" w:rsidR="002324B1" w:rsidRDefault="002324B1" w:rsidP="00B23252">
            <w:pPr>
              <w:pStyle w:val="Header"/>
              <w:tabs>
                <w:tab w:val="clear" w:pos="4153"/>
                <w:tab w:val="clear" w:pos="8306"/>
              </w:tabs>
              <w:contextualSpacing/>
              <w:jc w:val="both"/>
              <w:rPr>
                <w:rFonts w:ascii="Calibri" w:hAnsi="Calibri"/>
                <w:bCs/>
                <w:color w:val="FF0000"/>
                <w:szCs w:val="22"/>
              </w:rPr>
            </w:pPr>
          </w:p>
          <w:p w14:paraId="60D0FA26" w14:textId="2E409873" w:rsidR="00E91F51" w:rsidRPr="002324B1" w:rsidRDefault="00BE6B34" w:rsidP="00B23252">
            <w:pPr>
              <w:pStyle w:val="Header"/>
              <w:tabs>
                <w:tab w:val="clear" w:pos="4153"/>
                <w:tab w:val="clear" w:pos="8306"/>
              </w:tabs>
              <w:contextualSpacing/>
              <w:jc w:val="both"/>
              <w:rPr>
                <w:rFonts w:ascii="Calibri" w:hAnsi="Calibri"/>
                <w:bCs/>
                <w:szCs w:val="22"/>
              </w:rPr>
            </w:pPr>
            <w:r w:rsidRPr="002324B1">
              <w:rPr>
                <w:rFonts w:ascii="Calibri" w:hAnsi="Calibri"/>
                <w:bCs/>
                <w:szCs w:val="22"/>
              </w:rPr>
              <w:t xml:space="preserve">The </w:t>
            </w:r>
            <w:r w:rsidR="002324B1" w:rsidRPr="002324B1">
              <w:rPr>
                <w:rFonts w:ascii="Calibri" w:hAnsi="Calibri"/>
                <w:bCs/>
                <w:szCs w:val="22"/>
              </w:rPr>
              <w:t xml:space="preserve">original outline </w:t>
            </w:r>
            <w:r w:rsidRPr="002324B1">
              <w:rPr>
                <w:rFonts w:ascii="Calibri" w:hAnsi="Calibri"/>
                <w:bCs/>
                <w:szCs w:val="22"/>
              </w:rPr>
              <w:t xml:space="preserve">consent to which the application relates granted </w:t>
            </w:r>
            <w:r w:rsidR="002324B1" w:rsidRPr="002324B1">
              <w:rPr>
                <w:rFonts w:ascii="Calibri" w:hAnsi="Calibri"/>
                <w:bCs/>
                <w:szCs w:val="22"/>
              </w:rPr>
              <w:t>outline consent for demolition the of 74 Higher Road and construction of up to 123 houses on land to the rear, including access</w:t>
            </w:r>
            <w:r w:rsidR="002324B1">
              <w:rPr>
                <w:rFonts w:ascii="Calibri" w:hAnsi="Calibri"/>
                <w:bCs/>
                <w:szCs w:val="22"/>
              </w:rPr>
              <w:t xml:space="preserve"> (granted at appeal)</w:t>
            </w:r>
            <w:r w:rsidR="002324B1" w:rsidRPr="002324B1">
              <w:rPr>
                <w:rFonts w:ascii="Calibri" w:hAnsi="Calibri"/>
                <w:bCs/>
                <w:szCs w:val="22"/>
              </w:rPr>
              <w:t xml:space="preserve">.  </w:t>
            </w:r>
          </w:p>
          <w:p w14:paraId="65B30AA8" w14:textId="77777777" w:rsidR="00BE6B34" w:rsidRPr="0043614D" w:rsidRDefault="00BE6B34" w:rsidP="00B23252">
            <w:pPr>
              <w:pStyle w:val="Header"/>
              <w:tabs>
                <w:tab w:val="clear" w:pos="4153"/>
                <w:tab w:val="clear" w:pos="8306"/>
              </w:tabs>
              <w:contextualSpacing/>
              <w:jc w:val="both"/>
              <w:rPr>
                <w:rFonts w:ascii="Calibri" w:hAnsi="Calibri"/>
                <w:bCs/>
                <w:color w:val="FF0000"/>
                <w:szCs w:val="22"/>
              </w:rPr>
            </w:pPr>
          </w:p>
          <w:p w14:paraId="204965F6" w14:textId="02C8C5CD" w:rsidR="00BE6B34" w:rsidRPr="007D7F4B" w:rsidRDefault="00BE6B34" w:rsidP="00BE6B34">
            <w:pPr>
              <w:pStyle w:val="Header"/>
              <w:contextualSpacing/>
              <w:jc w:val="both"/>
              <w:rPr>
                <w:rFonts w:asciiTheme="minorHAnsi" w:hAnsiTheme="minorHAnsi" w:cstheme="minorHAnsi"/>
                <w:bCs/>
                <w:szCs w:val="22"/>
              </w:rPr>
            </w:pPr>
            <w:r w:rsidRPr="007D7F4B">
              <w:rPr>
                <w:rFonts w:asciiTheme="minorHAnsi" w:hAnsiTheme="minorHAnsi" w:cstheme="minorHAnsi"/>
                <w:bCs/>
                <w:szCs w:val="22"/>
              </w:rPr>
              <w:t xml:space="preserve">At the time of </w:t>
            </w:r>
            <w:r w:rsidR="002324B1" w:rsidRPr="007D7F4B">
              <w:rPr>
                <w:rFonts w:asciiTheme="minorHAnsi" w:hAnsiTheme="minorHAnsi" w:cstheme="minorHAnsi"/>
                <w:bCs/>
                <w:szCs w:val="22"/>
              </w:rPr>
              <w:t xml:space="preserve">the granting of the outline </w:t>
            </w:r>
            <w:r w:rsidRPr="007D7F4B">
              <w:rPr>
                <w:rFonts w:asciiTheme="minorHAnsi" w:hAnsiTheme="minorHAnsi" w:cstheme="minorHAnsi"/>
                <w:bCs/>
                <w:szCs w:val="22"/>
              </w:rPr>
              <w:t xml:space="preserve">consent </w:t>
            </w:r>
            <w:r w:rsidR="002324B1" w:rsidRPr="007D7F4B">
              <w:rPr>
                <w:rFonts w:asciiTheme="minorHAnsi" w:hAnsiTheme="minorHAnsi" w:cstheme="minorHAnsi"/>
                <w:bCs/>
                <w:szCs w:val="22"/>
              </w:rPr>
              <w:t xml:space="preserve">3/2016/1082 </w:t>
            </w:r>
            <w:r w:rsidRPr="007D7F4B">
              <w:rPr>
                <w:rFonts w:asciiTheme="minorHAnsi" w:hAnsiTheme="minorHAnsi" w:cstheme="minorHAnsi"/>
                <w:bCs/>
                <w:szCs w:val="22"/>
              </w:rPr>
              <w:t xml:space="preserve">(granted </w:t>
            </w:r>
            <w:r w:rsidR="002324B1" w:rsidRPr="007D7F4B">
              <w:rPr>
                <w:rFonts w:asciiTheme="minorHAnsi" w:hAnsiTheme="minorHAnsi" w:cstheme="minorHAnsi"/>
                <w:bCs/>
                <w:szCs w:val="22"/>
              </w:rPr>
              <w:t>22nd</w:t>
            </w:r>
            <w:r w:rsidRPr="007D7F4B">
              <w:rPr>
                <w:rFonts w:asciiTheme="minorHAnsi" w:hAnsiTheme="minorHAnsi" w:cstheme="minorHAnsi"/>
                <w:bCs/>
                <w:szCs w:val="22"/>
              </w:rPr>
              <w:t xml:space="preserve"> </w:t>
            </w:r>
            <w:r w:rsidR="002324B1" w:rsidRPr="007D7F4B">
              <w:rPr>
                <w:rFonts w:asciiTheme="minorHAnsi" w:hAnsiTheme="minorHAnsi" w:cstheme="minorHAnsi"/>
                <w:bCs/>
                <w:szCs w:val="22"/>
              </w:rPr>
              <w:t>May</w:t>
            </w:r>
            <w:r w:rsidRPr="007D7F4B">
              <w:rPr>
                <w:rFonts w:asciiTheme="minorHAnsi" w:hAnsiTheme="minorHAnsi" w:cstheme="minorHAnsi"/>
                <w:bCs/>
                <w:szCs w:val="22"/>
              </w:rPr>
              <w:t xml:space="preserve"> 202</w:t>
            </w:r>
            <w:r w:rsidR="002324B1" w:rsidRPr="007D7F4B">
              <w:rPr>
                <w:rFonts w:asciiTheme="minorHAnsi" w:hAnsiTheme="minorHAnsi" w:cstheme="minorHAnsi"/>
                <w:bCs/>
                <w:szCs w:val="22"/>
              </w:rPr>
              <w:t>2</w:t>
            </w:r>
            <w:r w:rsidRPr="007D7F4B">
              <w:rPr>
                <w:rFonts w:asciiTheme="minorHAnsi" w:hAnsiTheme="minorHAnsi" w:cstheme="minorHAnsi"/>
                <w:bCs/>
                <w:szCs w:val="22"/>
              </w:rPr>
              <w:t xml:space="preserve">) the </w:t>
            </w:r>
            <w:r w:rsidR="002324B1" w:rsidRPr="007D7F4B">
              <w:rPr>
                <w:rFonts w:asciiTheme="minorHAnsi" w:hAnsiTheme="minorHAnsi" w:cstheme="minorHAnsi"/>
                <w:bCs/>
                <w:szCs w:val="22"/>
              </w:rPr>
              <w:t>following timescale condition</w:t>
            </w:r>
            <w:r w:rsidRPr="007D7F4B">
              <w:rPr>
                <w:rFonts w:asciiTheme="minorHAnsi" w:hAnsiTheme="minorHAnsi" w:cstheme="minorHAnsi"/>
                <w:bCs/>
                <w:szCs w:val="22"/>
              </w:rPr>
              <w:t xml:space="preserve"> was imposed</w:t>
            </w:r>
            <w:r w:rsidR="002324B1" w:rsidRPr="007D7F4B">
              <w:rPr>
                <w:rFonts w:asciiTheme="minorHAnsi" w:hAnsiTheme="minorHAnsi" w:cstheme="minorHAnsi"/>
                <w:bCs/>
                <w:szCs w:val="22"/>
              </w:rPr>
              <w:t>:</w:t>
            </w:r>
          </w:p>
          <w:p w14:paraId="4E09DDAE" w14:textId="77777777" w:rsidR="002324B1" w:rsidRPr="007D7F4B" w:rsidRDefault="002324B1" w:rsidP="00BE6B34">
            <w:pPr>
              <w:pStyle w:val="Header"/>
              <w:contextualSpacing/>
              <w:jc w:val="both"/>
              <w:rPr>
                <w:rFonts w:asciiTheme="minorHAnsi" w:hAnsiTheme="minorHAnsi" w:cstheme="minorHAnsi"/>
                <w:bCs/>
                <w:szCs w:val="22"/>
              </w:rPr>
            </w:pPr>
          </w:p>
          <w:p w14:paraId="4666BEE2" w14:textId="77777777" w:rsidR="002324B1" w:rsidRPr="007D7F4B" w:rsidRDefault="002324B1" w:rsidP="00BE6B34">
            <w:pPr>
              <w:pStyle w:val="Header"/>
              <w:contextualSpacing/>
              <w:jc w:val="both"/>
              <w:rPr>
                <w:rFonts w:asciiTheme="minorHAnsi" w:hAnsiTheme="minorHAnsi" w:cstheme="minorHAnsi"/>
                <w:i/>
                <w:iCs/>
              </w:rPr>
            </w:pPr>
            <w:r w:rsidRPr="007D7F4B">
              <w:rPr>
                <w:rFonts w:asciiTheme="minorHAnsi" w:hAnsiTheme="minorHAnsi" w:cstheme="minorHAnsi"/>
                <w:i/>
                <w:iCs/>
              </w:rPr>
              <w:t xml:space="preserve">Application(s) for approval of all of the outstanding reserved matters related to the consent hereby approved must be made not later than the expiration of three years beginning with the date of this permission and the development must be begun not later than whichever is the latter of the following dates: </w:t>
            </w:r>
          </w:p>
          <w:p w14:paraId="13DAF229" w14:textId="77777777" w:rsidR="002324B1" w:rsidRPr="007D7F4B" w:rsidRDefault="002324B1" w:rsidP="00BE6B34">
            <w:pPr>
              <w:pStyle w:val="Header"/>
              <w:contextualSpacing/>
              <w:jc w:val="both"/>
              <w:rPr>
                <w:rFonts w:asciiTheme="minorHAnsi" w:hAnsiTheme="minorHAnsi" w:cstheme="minorHAnsi"/>
                <w:i/>
                <w:iCs/>
              </w:rPr>
            </w:pPr>
          </w:p>
          <w:p w14:paraId="66F9A5B4" w14:textId="77777777" w:rsidR="002324B1" w:rsidRPr="007D7F4B" w:rsidRDefault="002324B1" w:rsidP="002324B1">
            <w:pPr>
              <w:pStyle w:val="Header"/>
              <w:numPr>
                <w:ilvl w:val="0"/>
                <w:numId w:val="9"/>
              </w:numPr>
              <w:contextualSpacing/>
              <w:jc w:val="both"/>
              <w:rPr>
                <w:rFonts w:asciiTheme="minorHAnsi" w:hAnsiTheme="minorHAnsi" w:cstheme="minorHAnsi"/>
                <w:bCs/>
                <w:i/>
                <w:iCs/>
                <w:szCs w:val="22"/>
              </w:rPr>
            </w:pPr>
            <w:r w:rsidRPr="007D7F4B">
              <w:rPr>
                <w:rFonts w:asciiTheme="minorHAnsi" w:hAnsiTheme="minorHAnsi" w:cstheme="minorHAnsi"/>
                <w:i/>
                <w:iCs/>
              </w:rPr>
              <w:t>The expiration of three years from the date of this permission; or</w:t>
            </w:r>
          </w:p>
          <w:p w14:paraId="2D5F2C24" w14:textId="0F5B7502" w:rsidR="002324B1" w:rsidRPr="002324B1" w:rsidRDefault="002324B1" w:rsidP="00BE6B34">
            <w:pPr>
              <w:pStyle w:val="Header"/>
              <w:numPr>
                <w:ilvl w:val="0"/>
                <w:numId w:val="9"/>
              </w:numPr>
              <w:contextualSpacing/>
              <w:jc w:val="both"/>
              <w:rPr>
                <w:rFonts w:ascii="Calibri" w:hAnsi="Calibri"/>
                <w:bCs/>
                <w:i/>
                <w:iCs/>
                <w:szCs w:val="22"/>
              </w:rPr>
            </w:pPr>
            <w:r w:rsidRPr="007D7F4B">
              <w:rPr>
                <w:rFonts w:asciiTheme="minorHAnsi" w:hAnsiTheme="minorHAnsi" w:cstheme="minorHAnsi"/>
                <w:i/>
                <w:iCs/>
              </w:rPr>
              <w:t>The expiration of two years from the final approval of the reserved matters or, in the case of approval on different dates, the final approval of the last such matter to be approved</w:t>
            </w:r>
            <w:r w:rsidRPr="002324B1">
              <w:rPr>
                <w:i/>
                <w:iCs/>
              </w:rPr>
              <w:t>.</w:t>
            </w:r>
          </w:p>
          <w:p w14:paraId="3E535EAA" w14:textId="77777777" w:rsidR="002324B1" w:rsidRDefault="002324B1" w:rsidP="002324B1">
            <w:pPr>
              <w:pStyle w:val="Header"/>
              <w:contextualSpacing/>
              <w:jc w:val="both"/>
            </w:pPr>
          </w:p>
          <w:p w14:paraId="1AC054CA" w14:textId="77777777" w:rsidR="00F92C57" w:rsidRDefault="00F92C57" w:rsidP="002324B1">
            <w:pPr>
              <w:pStyle w:val="Header"/>
              <w:contextualSpacing/>
              <w:jc w:val="both"/>
            </w:pPr>
          </w:p>
          <w:p w14:paraId="05ED721B" w14:textId="2FC87AE8" w:rsidR="00F92C57" w:rsidRDefault="00F92C57" w:rsidP="002324B1">
            <w:pPr>
              <w:pStyle w:val="Header"/>
              <w:contextualSpacing/>
              <w:jc w:val="both"/>
              <w:rPr>
                <w:rFonts w:asciiTheme="minorHAnsi" w:hAnsiTheme="minorHAnsi" w:cstheme="minorHAnsi"/>
                <w:b/>
                <w:bCs/>
              </w:rPr>
            </w:pPr>
            <w:r w:rsidRPr="00F92C57">
              <w:rPr>
                <w:rFonts w:asciiTheme="minorHAnsi" w:hAnsiTheme="minorHAnsi" w:cstheme="minorHAnsi"/>
                <w:b/>
                <w:bCs/>
              </w:rPr>
              <w:t>2023/0584</w:t>
            </w:r>
            <w:r>
              <w:rPr>
                <w:rFonts w:asciiTheme="minorHAnsi" w:hAnsiTheme="minorHAnsi" w:cstheme="minorHAnsi"/>
                <w:b/>
                <w:bCs/>
              </w:rPr>
              <w:t>:</w:t>
            </w:r>
          </w:p>
          <w:p w14:paraId="7331CFF6" w14:textId="28C65A8D" w:rsidR="00F92C57" w:rsidRDefault="00F92C57" w:rsidP="00F92C57">
            <w:pPr>
              <w:pStyle w:val="Header"/>
              <w:contextualSpacing/>
              <w:jc w:val="both"/>
              <w:rPr>
                <w:rFonts w:ascii="Calibri" w:hAnsi="Calibri"/>
                <w:bCs/>
                <w:szCs w:val="22"/>
              </w:rPr>
            </w:pPr>
            <w:r w:rsidRPr="007D7F4B">
              <w:rPr>
                <w:rFonts w:ascii="Calibri" w:hAnsi="Calibri"/>
                <w:bCs/>
                <w:szCs w:val="22"/>
              </w:rPr>
              <w:t>Section 73 consent 3/2023/058</w:t>
            </w:r>
            <w:r>
              <w:rPr>
                <w:rFonts w:ascii="Calibri" w:hAnsi="Calibri"/>
                <w:bCs/>
                <w:szCs w:val="22"/>
              </w:rPr>
              <w:t>4</w:t>
            </w:r>
            <w:r w:rsidRPr="007D7F4B">
              <w:rPr>
                <w:rFonts w:ascii="Calibri" w:hAnsi="Calibri"/>
                <w:bCs/>
                <w:szCs w:val="22"/>
              </w:rPr>
              <w:t xml:space="preserve"> was granted subsequent to the issuing of the outline consent with the </w:t>
            </w:r>
            <w:r>
              <w:rPr>
                <w:rFonts w:ascii="Calibri" w:hAnsi="Calibri"/>
                <w:bCs/>
                <w:szCs w:val="22"/>
              </w:rPr>
              <w:t>inherent original</w:t>
            </w:r>
            <w:r w:rsidRPr="007D7F4B">
              <w:rPr>
                <w:rFonts w:ascii="Calibri" w:hAnsi="Calibri"/>
                <w:bCs/>
                <w:szCs w:val="22"/>
              </w:rPr>
              <w:t xml:space="preserve"> timescales having been reiterated within the decision notice.  </w:t>
            </w:r>
          </w:p>
          <w:p w14:paraId="082B2EC3" w14:textId="77777777" w:rsidR="00F92C57" w:rsidRDefault="00F92C57" w:rsidP="00F92C57">
            <w:pPr>
              <w:pStyle w:val="Header"/>
              <w:contextualSpacing/>
              <w:jc w:val="both"/>
              <w:rPr>
                <w:rFonts w:ascii="Calibri" w:hAnsi="Calibri"/>
                <w:bCs/>
                <w:szCs w:val="22"/>
              </w:rPr>
            </w:pPr>
          </w:p>
          <w:p w14:paraId="44041240" w14:textId="5664DFE9" w:rsidR="00F92C57" w:rsidRDefault="00F92C57" w:rsidP="00F92C57">
            <w:pPr>
              <w:pStyle w:val="Header"/>
              <w:contextualSpacing/>
              <w:jc w:val="both"/>
              <w:rPr>
                <w:rFonts w:ascii="Calibri" w:hAnsi="Calibri"/>
                <w:bCs/>
                <w:szCs w:val="22"/>
              </w:rPr>
            </w:pPr>
            <w:r w:rsidRPr="007D7F4B">
              <w:rPr>
                <w:rFonts w:ascii="Calibri" w:hAnsi="Calibri"/>
                <w:bCs/>
                <w:szCs w:val="22"/>
              </w:rPr>
              <w:t>The consent allowed for a variation to condition 1</w:t>
            </w:r>
            <w:r>
              <w:rPr>
                <w:rFonts w:ascii="Calibri" w:hAnsi="Calibri"/>
                <w:bCs/>
                <w:szCs w:val="22"/>
              </w:rPr>
              <w:t>2</w:t>
            </w:r>
            <w:r w:rsidRPr="007D7F4B">
              <w:rPr>
                <w:rFonts w:ascii="Calibri" w:hAnsi="Calibri"/>
                <w:bCs/>
                <w:szCs w:val="22"/>
              </w:rPr>
              <w:t xml:space="preserve"> which </w:t>
            </w:r>
            <w:r>
              <w:rPr>
                <w:rFonts w:ascii="Calibri" w:hAnsi="Calibri"/>
                <w:bCs/>
                <w:szCs w:val="22"/>
              </w:rPr>
              <w:t xml:space="preserve">originally precluded commencement of development </w:t>
            </w:r>
            <w:r w:rsidRPr="007D7F4B">
              <w:rPr>
                <w:rFonts w:ascii="Calibri" w:hAnsi="Calibri"/>
                <w:bCs/>
                <w:i/>
                <w:iCs/>
                <w:szCs w:val="22"/>
              </w:rPr>
              <w:t>‘</w:t>
            </w:r>
            <w:r w:rsidRPr="00F92C57">
              <w:rPr>
                <w:rFonts w:ascii="Calibri" w:hAnsi="Calibri"/>
                <w:bCs/>
                <w:i/>
                <w:iCs/>
                <w:szCs w:val="22"/>
              </w:rPr>
              <w:t>no development, including any site preparation, demolition, scrub/hedgerow clearance or tree works/removal shall commence or be undertaken on site until a scheme for the construction of the pedestrian and vehicular site accesses, together with a retaining structure adjacent to the site access, has been submitted to, and approved in writing by the local planning authority in consultation with the Highway Authority</w:t>
            </w:r>
            <w:r>
              <w:rPr>
                <w:rFonts w:ascii="Calibri" w:hAnsi="Calibri"/>
                <w:bCs/>
                <w:i/>
                <w:iCs/>
                <w:szCs w:val="22"/>
              </w:rPr>
              <w:t>’</w:t>
            </w:r>
            <w:r w:rsidRPr="007D7F4B">
              <w:rPr>
                <w:rFonts w:ascii="Calibri" w:hAnsi="Calibri"/>
                <w:bCs/>
                <w:i/>
                <w:iCs/>
                <w:szCs w:val="22"/>
              </w:rPr>
              <w:t>.</w:t>
            </w:r>
          </w:p>
          <w:p w14:paraId="6B3D037B" w14:textId="77777777" w:rsidR="00F92C57" w:rsidRDefault="00F92C57" w:rsidP="00F92C57">
            <w:pPr>
              <w:pStyle w:val="Header"/>
              <w:contextualSpacing/>
              <w:jc w:val="both"/>
              <w:rPr>
                <w:rFonts w:ascii="Calibri" w:hAnsi="Calibri"/>
                <w:bCs/>
                <w:szCs w:val="22"/>
              </w:rPr>
            </w:pPr>
          </w:p>
          <w:p w14:paraId="1EBB648C" w14:textId="34011B3C" w:rsidR="00F92C57" w:rsidRPr="007D7F4B" w:rsidRDefault="00F92C57" w:rsidP="00F92C57">
            <w:pPr>
              <w:pStyle w:val="Header"/>
              <w:contextualSpacing/>
              <w:jc w:val="both"/>
              <w:rPr>
                <w:rFonts w:ascii="Calibri" w:hAnsi="Calibri"/>
                <w:bCs/>
                <w:szCs w:val="22"/>
              </w:rPr>
            </w:pPr>
            <w:r>
              <w:rPr>
                <w:rFonts w:ascii="Calibri" w:hAnsi="Calibri"/>
                <w:bCs/>
                <w:szCs w:val="22"/>
              </w:rPr>
              <w:t xml:space="preserve">With the </w:t>
            </w:r>
            <w:r w:rsidR="00741839">
              <w:rPr>
                <w:rFonts w:ascii="Calibri" w:hAnsi="Calibri"/>
                <w:bCs/>
                <w:szCs w:val="22"/>
              </w:rPr>
              <w:t xml:space="preserve">granting of consent amending the condition to read </w:t>
            </w:r>
            <w:r w:rsidRPr="007D7F4B">
              <w:rPr>
                <w:rFonts w:ascii="Calibri" w:hAnsi="Calibri"/>
                <w:bCs/>
                <w:szCs w:val="22"/>
              </w:rPr>
              <w:t>as follows:</w:t>
            </w:r>
          </w:p>
          <w:p w14:paraId="160D00D7" w14:textId="77777777" w:rsidR="00F92C57" w:rsidRDefault="00F92C57" w:rsidP="00F92C57">
            <w:pPr>
              <w:pStyle w:val="Header"/>
              <w:contextualSpacing/>
              <w:jc w:val="both"/>
              <w:rPr>
                <w:rFonts w:ascii="Calibri" w:hAnsi="Calibri"/>
                <w:bCs/>
                <w:color w:val="FF0000"/>
                <w:szCs w:val="22"/>
              </w:rPr>
            </w:pPr>
          </w:p>
          <w:p w14:paraId="3A04A346" w14:textId="77777777" w:rsidR="00741839" w:rsidRPr="00741839" w:rsidRDefault="00F92C57" w:rsidP="00741839">
            <w:pPr>
              <w:pStyle w:val="TableText"/>
              <w:rPr>
                <w:rFonts w:asciiTheme="minorHAnsi" w:hAnsiTheme="minorHAnsi" w:cstheme="minorHAnsi"/>
                <w:i/>
                <w:iCs/>
                <w:szCs w:val="22"/>
              </w:rPr>
            </w:pPr>
            <w:r w:rsidRPr="00741839">
              <w:rPr>
                <w:rFonts w:asciiTheme="minorHAnsi" w:hAnsiTheme="minorHAnsi" w:cstheme="minorHAnsi"/>
                <w:i/>
                <w:iCs/>
                <w:szCs w:val="22"/>
              </w:rPr>
              <w:t>‘</w:t>
            </w:r>
            <w:r w:rsidR="00741839" w:rsidRPr="00741839">
              <w:rPr>
                <w:rFonts w:asciiTheme="minorHAnsi" w:hAnsiTheme="minorHAnsi" w:cstheme="minorHAnsi"/>
                <w:i/>
                <w:iCs/>
                <w:szCs w:val="22"/>
              </w:rPr>
              <w:t xml:space="preserve">Notwithstanding the submitted details, no development, including any site preparation, demolition (other than the demolition of the existing dwellinghouse and garage), scrub/hedgerow clearance or tree works/removal shall commence or be undertaken on site until a scheme for the construction of the pedestrian and vehicular site accesses, together with a retaining structure adjacent to the site access, has been submitted to, and approved in writing by the local planning authority in consultation with the Highway Authority. The development shall be carried out in strict accordance with the approved details prior to the first occupation of any dwelling. </w:t>
            </w:r>
          </w:p>
          <w:p w14:paraId="5EF88CEB" w14:textId="77777777" w:rsidR="00741839" w:rsidRPr="00741839" w:rsidRDefault="00741839" w:rsidP="00741839">
            <w:pPr>
              <w:pStyle w:val="TableText"/>
              <w:rPr>
                <w:rFonts w:asciiTheme="minorHAnsi" w:hAnsiTheme="minorHAnsi" w:cstheme="minorHAnsi"/>
                <w:i/>
                <w:iCs/>
                <w:szCs w:val="22"/>
              </w:rPr>
            </w:pPr>
          </w:p>
          <w:p w14:paraId="2CAF0E1F" w14:textId="737FB42C" w:rsidR="00F92C57" w:rsidRDefault="00741839" w:rsidP="00741839">
            <w:pPr>
              <w:pStyle w:val="Header"/>
              <w:contextualSpacing/>
              <w:jc w:val="both"/>
              <w:rPr>
                <w:rFonts w:ascii="Calibri" w:hAnsi="Calibri"/>
                <w:i/>
                <w:iCs/>
                <w:sz w:val="24"/>
                <w:szCs w:val="24"/>
              </w:rPr>
            </w:pPr>
            <w:r w:rsidRPr="00741839">
              <w:rPr>
                <w:rFonts w:asciiTheme="minorHAnsi" w:hAnsiTheme="minorHAnsi" w:cstheme="minorHAnsi"/>
                <w:i/>
                <w:iCs/>
                <w:szCs w:val="22"/>
              </w:rPr>
              <w:t>For the avoidance of doubt, the submitted details shall also include the precise nature and design of all pedestrian/cycleway accesses into and out of the site including details of their interface with existing pedestrian/cycle routes or networks’</w:t>
            </w:r>
            <w:r>
              <w:rPr>
                <w:rFonts w:ascii="Calibri" w:hAnsi="Calibri"/>
                <w:i/>
                <w:iCs/>
                <w:sz w:val="24"/>
                <w:szCs w:val="24"/>
              </w:rPr>
              <w:t>.</w:t>
            </w:r>
          </w:p>
          <w:p w14:paraId="23AF474D" w14:textId="77777777" w:rsidR="00741839" w:rsidRDefault="00741839" w:rsidP="00741839">
            <w:pPr>
              <w:pStyle w:val="Header"/>
              <w:contextualSpacing/>
              <w:jc w:val="both"/>
              <w:rPr>
                <w:rFonts w:asciiTheme="minorHAnsi" w:hAnsiTheme="minorHAnsi" w:cstheme="minorHAnsi"/>
                <w:b/>
                <w:bCs/>
              </w:rPr>
            </w:pPr>
          </w:p>
          <w:p w14:paraId="4AAC9F0B" w14:textId="79B4FFDB" w:rsidR="00F92C57" w:rsidRPr="00F92C57" w:rsidRDefault="00F92C57" w:rsidP="002324B1">
            <w:pPr>
              <w:pStyle w:val="Header"/>
              <w:contextualSpacing/>
              <w:jc w:val="both"/>
              <w:rPr>
                <w:rFonts w:asciiTheme="minorHAnsi" w:hAnsiTheme="minorHAnsi" w:cstheme="minorHAnsi"/>
                <w:b/>
                <w:bCs/>
              </w:rPr>
            </w:pPr>
            <w:r>
              <w:rPr>
                <w:rFonts w:asciiTheme="minorHAnsi" w:hAnsiTheme="minorHAnsi" w:cstheme="minorHAnsi"/>
                <w:b/>
                <w:bCs/>
              </w:rPr>
              <w:t>2023/0585:</w:t>
            </w:r>
          </w:p>
          <w:p w14:paraId="08803FAA" w14:textId="65AAC777" w:rsidR="00F92C57" w:rsidRDefault="007D7F4B" w:rsidP="002324B1">
            <w:pPr>
              <w:pStyle w:val="Header"/>
              <w:contextualSpacing/>
              <w:jc w:val="both"/>
              <w:rPr>
                <w:rFonts w:ascii="Calibri" w:hAnsi="Calibri"/>
                <w:bCs/>
                <w:szCs w:val="22"/>
              </w:rPr>
            </w:pPr>
            <w:r w:rsidRPr="007D7F4B">
              <w:rPr>
                <w:rFonts w:ascii="Calibri" w:hAnsi="Calibri"/>
                <w:bCs/>
                <w:szCs w:val="22"/>
              </w:rPr>
              <w:t xml:space="preserve">Section 73 consent 3/2023/0585 was </w:t>
            </w:r>
            <w:r w:rsidR="002324B1" w:rsidRPr="007D7F4B">
              <w:rPr>
                <w:rFonts w:ascii="Calibri" w:hAnsi="Calibri"/>
                <w:bCs/>
                <w:szCs w:val="22"/>
              </w:rPr>
              <w:t xml:space="preserve">granted subsequent to the issuing of the </w:t>
            </w:r>
            <w:r w:rsidR="00F92C57" w:rsidRPr="00F92C57">
              <w:rPr>
                <w:rFonts w:ascii="Calibri" w:hAnsi="Calibri"/>
                <w:bCs/>
                <w:szCs w:val="22"/>
              </w:rPr>
              <w:t xml:space="preserve">outline consent with the inherent original timescales having been reiterated within the decision notice.  </w:t>
            </w:r>
          </w:p>
          <w:p w14:paraId="005D8DE2" w14:textId="77777777" w:rsidR="00F92C57" w:rsidRDefault="00F92C57" w:rsidP="002324B1">
            <w:pPr>
              <w:pStyle w:val="Header"/>
              <w:contextualSpacing/>
              <w:jc w:val="both"/>
              <w:rPr>
                <w:rFonts w:ascii="Calibri" w:hAnsi="Calibri"/>
                <w:bCs/>
                <w:szCs w:val="22"/>
              </w:rPr>
            </w:pPr>
          </w:p>
          <w:p w14:paraId="7070480F" w14:textId="3B171A6D" w:rsidR="007D7F4B" w:rsidRDefault="007D7F4B" w:rsidP="002324B1">
            <w:pPr>
              <w:pStyle w:val="Header"/>
              <w:contextualSpacing/>
              <w:jc w:val="both"/>
              <w:rPr>
                <w:rFonts w:ascii="Calibri" w:hAnsi="Calibri"/>
                <w:bCs/>
                <w:szCs w:val="22"/>
              </w:rPr>
            </w:pPr>
            <w:r w:rsidRPr="007D7F4B">
              <w:rPr>
                <w:rFonts w:ascii="Calibri" w:hAnsi="Calibri"/>
                <w:bCs/>
                <w:szCs w:val="22"/>
              </w:rPr>
              <w:t xml:space="preserve">The consent allowed for a variation to condition 11 which </w:t>
            </w:r>
            <w:r>
              <w:rPr>
                <w:rFonts w:ascii="Calibri" w:hAnsi="Calibri"/>
                <w:bCs/>
                <w:szCs w:val="22"/>
              </w:rPr>
              <w:t xml:space="preserve">originally precluded commencement of development </w:t>
            </w:r>
            <w:r w:rsidRPr="007D7F4B">
              <w:rPr>
                <w:rFonts w:ascii="Calibri" w:hAnsi="Calibri"/>
                <w:bCs/>
                <w:i/>
                <w:iCs/>
                <w:szCs w:val="22"/>
              </w:rPr>
              <w:t>‘until full engineering, drainage, street lighting and constructional details of the streets proposed for adoption have been submitted to and approved in writing by the local planning authority’.</w:t>
            </w:r>
          </w:p>
          <w:p w14:paraId="146C30AF" w14:textId="77777777" w:rsidR="007D7F4B" w:rsidRDefault="007D7F4B" w:rsidP="002324B1">
            <w:pPr>
              <w:pStyle w:val="Header"/>
              <w:contextualSpacing/>
              <w:jc w:val="both"/>
              <w:rPr>
                <w:rFonts w:ascii="Calibri" w:hAnsi="Calibri"/>
                <w:bCs/>
                <w:szCs w:val="22"/>
              </w:rPr>
            </w:pPr>
          </w:p>
          <w:p w14:paraId="2A102166" w14:textId="12566444" w:rsidR="007D7F4B" w:rsidRDefault="00741839" w:rsidP="002324B1">
            <w:pPr>
              <w:pStyle w:val="Header"/>
              <w:contextualSpacing/>
              <w:jc w:val="both"/>
              <w:rPr>
                <w:rFonts w:ascii="Calibri" w:hAnsi="Calibri"/>
                <w:bCs/>
                <w:szCs w:val="22"/>
              </w:rPr>
            </w:pPr>
            <w:r w:rsidRPr="00741839">
              <w:rPr>
                <w:rFonts w:ascii="Calibri" w:hAnsi="Calibri"/>
                <w:bCs/>
                <w:szCs w:val="22"/>
              </w:rPr>
              <w:t>With the granting of consent amending the condition to read as follows:</w:t>
            </w:r>
          </w:p>
          <w:p w14:paraId="218352C8" w14:textId="77777777" w:rsidR="00741839" w:rsidRDefault="00741839" w:rsidP="002324B1">
            <w:pPr>
              <w:pStyle w:val="Header"/>
              <w:contextualSpacing/>
              <w:jc w:val="both"/>
              <w:rPr>
                <w:rFonts w:ascii="Calibri" w:hAnsi="Calibri"/>
                <w:bCs/>
                <w:color w:val="FF0000"/>
                <w:szCs w:val="22"/>
              </w:rPr>
            </w:pPr>
          </w:p>
          <w:p w14:paraId="71E31164" w14:textId="311907EA" w:rsidR="007D7F4B" w:rsidRPr="00741839" w:rsidRDefault="007D7F4B" w:rsidP="007D7F4B">
            <w:pPr>
              <w:pStyle w:val="TableText"/>
              <w:rPr>
                <w:rFonts w:ascii="Calibri" w:hAnsi="Calibri"/>
                <w:i/>
                <w:iCs/>
                <w:szCs w:val="22"/>
              </w:rPr>
            </w:pPr>
            <w:r w:rsidRPr="00741839">
              <w:rPr>
                <w:rFonts w:ascii="Calibri" w:hAnsi="Calibri"/>
                <w:i/>
                <w:iCs/>
                <w:szCs w:val="22"/>
              </w:rPr>
              <w:t>‘No development shall be commenced, other than the demolition of the existing dwellinghouse and garage, until full engineering, drainage, street lighting and constructional details of the streets proposed for adoption have been submitted to and approved in writing by the local planning authority. The development shall, thereafter, be constructed in accordance with the approved details’.</w:t>
            </w:r>
          </w:p>
          <w:p w14:paraId="2FD0A1FC" w14:textId="77777777" w:rsidR="007D7F4B" w:rsidRPr="002324B1" w:rsidRDefault="007D7F4B" w:rsidP="002324B1">
            <w:pPr>
              <w:pStyle w:val="Header"/>
              <w:contextualSpacing/>
              <w:jc w:val="both"/>
              <w:rPr>
                <w:rFonts w:ascii="Calibri" w:hAnsi="Calibri"/>
                <w:bCs/>
                <w:color w:val="FF0000"/>
                <w:szCs w:val="22"/>
              </w:rPr>
            </w:pPr>
          </w:p>
          <w:p w14:paraId="233CE462" w14:textId="55D4EBEC" w:rsidR="007D7F4B" w:rsidRPr="00741839" w:rsidRDefault="00741839" w:rsidP="00E91F51">
            <w:pPr>
              <w:contextualSpacing/>
              <w:jc w:val="both"/>
              <w:rPr>
                <w:rFonts w:ascii="Calibri" w:hAnsi="Calibri"/>
                <w:b/>
                <w:szCs w:val="22"/>
              </w:rPr>
            </w:pPr>
            <w:r w:rsidRPr="00741839">
              <w:rPr>
                <w:rFonts w:ascii="Calibri" w:hAnsi="Calibri"/>
                <w:b/>
                <w:szCs w:val="22"/>
              </w:rPr>
              <w:t>2021/0556:</w:t>
            </w:r>
          </w:p>
          <w:p w14:paraId="3A17AB63" w14:textId="1BF46162" w:rsidR="00741839" w:rsidRDefault="00741839" w:rsidP="00E91F51">
            <w:pPr>
              <w:contextualSpacing/>
              <w:jc w:val="both"/>
              <w:rPr>
                <w:rFonts w:ascii="Calibri" w:hAnsi="Calibri"/>
                <w:bCs/>
                <w:szCs w:val="22"/>
              </w:rPr>
            </w:pPr>
            <w:r>
              <w:rPr>
                <w:rFonts w:ascii="Calibri" w:hAnsi="Calibri"/>
                <w:bCs/>
                <w:szCs w:val="22"/>
              </w:rPr>
              <w:t>A subsequent reserved matter consent (3/2021/0556), pursuant to the outline permission, was granted consent on the 20</w:t>
            </w:r>
            <w:r w:rsidRPr="00741839">
              <w:rPr>
                <w:rFonts w:ascii="Calibri" w:hAnsi="Calibri"/>
                <w:bCs/>
                <w:szCs w:val="22"/>
                <w:vertAlign w:val="superscript"/>
              </w:rPr>
              <w:t>th</w:t>
            </w:r>
            <w:r>
              <w:rPr>
                <w:rFonts w:ascii="Calibri" w:hAnsi="Calibri"/>
                <w:bCs/>
                <w:szCs w:val="22"/>
              </w:rPr>
              <w:t xml:space="preserve"> of May 2022.  Thereby engaging condition 2(b) of the outline consent (and subsequent variations) which required that development be begun no later than </w:t>
            </w:r>
            <w:r w:rsidRPr="00741839">
              <w:rPr>
                <w:rFonts w:ascii="Calibri" w:hAnsi="Calibri"/>
                <w:bCs/>
                <w:i/>
                <w:iCs/>
                <w:szCs w:val="22"/>
              </w:rPr>
              <w:t>‘the expiration of two years from the final approval of the reserved matters or, in the case of approval on different dates, the final approval of the last such matter to be approved’.</w:t>
            </w:r>
            <w:r>
              <w:rPr>
                <w:rFonts w:ascii="Calibri" w:hAnsi="Calibri"/>
                <w:bCs/>
                <w:szCs w:val="22"/>
              </w:rPr>
              <w:t xml:space="preserve"> </w:t>
            </w:r>
          </w:p>
          <w:p w14:paraId="3B75C198" w14:textId="77777777" w:rsidR="00741839" w:rsidRDefault="00741839" w:rsidP="00E91F51">
            <w:pPr>
              <w:contextualSpacing/>
              <w:jc w:val="both"/>
              <w:rPr>
                <w:rFonts w:ascii="Calibri" w:hAnsi="Calibri"/>
                <w:bCs/>
                <w:szCs w:val="22"/>
              </w:rPr>
            </w:pPr>
          </w:p>
          <w:p w14:paraId="121A968B" w14:textId="15C1954B" w:rsidR="00323452" w:rsidRPr="00741839" w:rsidRDefault="00741839" w:rsidP="00E91F51">
            <w:pPr>
              <w:contextualSpacing/>
              <w:jc w:val="both"/>
              <w:rPr>
                <w:rFonts w:ascii="Calibri" w:hAnsi="Calibri"/>
                <w:bCs/>
                <w:szCs w:val="22"/>
              </w:rPr>
            </w:pPr>
            <w:r>
              <w:rPr>
                <w:rFonts w:ascii="Calibri" w:hAnsi="Calibri"/>
                <w:bCs/>
                <w:szCs w:val="22"/>
              </w:rPr>
              <w:t>As such, commencement of development, by virtue of material operations, would have to be undertaken prior to the 20</w:t>
            </w:r>
            <w:r w:rsidRPr="00741839">
              <w:rPr>
                <w:rFonts w:ascii="Calibri" w:hAnsi="Calibri"/>
                <w:bCs/>
                <w:szCs w:val="22"/>
                <w:vertAlign w:val="superscript"/>
              </w:rPr>
              <w:t>th</w:t>
            </w:r>
            <w:r>
              <w:rPr>
                <w:rFonts w:ascii="Calibri" w:hAnsi="Calibri"/>
                <w:bCs/>
                <w:szCs w:val="22"/>
              </w:rPr>
              <w:t xml:space="preserve"> of May 2024.  </w:t>
            </w:r>
            <w:r w:rsidR="0094039A" w:rsidRPr="004C334C">
              <w:rPr>
                <w:rFonts w:asciiTheme="minorHAnsi" w:hAnsiTheme="minorHAnsi" w:cstheme="minorHAnsi"/>
                <w:bCs/>
                <w:szCs w:val="22"/>
              </w:rPr>
              <w:t>In respect of the range of operations that would constitute ‘commencement of development’, S</w:t>
            </w:r>
            <w:r w:rsidR="00323452" w:rsidRPr="004C334C">
              <w:rPr>
                <w:rFonts w:asciiTheme="minorHAnsi" w:hAnsiTheme="minorHAnsi" w:cstheme="minorHAnsi"/>
                <w:bCs/>
                <w:szCs w:val="22"/>
              </w:rPr>
              <w:t>ection 56 of the Act reads as follows:</w:t>
            </w:r>
          </w:p>
          <w:p w14:paraId="5642912E" w14:textId="77777777" w:rsidR="00323452" w:rsidRPr="004C334C" w:rsidRDefault="00323452" w:rsidP="00E91F51">
            <w:pPr>
              <w:contextualSpacing/>
              <w:jc w:val="both"/>
              <w:rPr>
                <w:rFonts w:asciiTheme="minorHAnsi" w:hAnsiTheme="minorHAnsi" w:cstheme="minorHAnsi"/>
                <w:bCs/>
                <w:szCs w:val="22"/>
              </w:rPr>
            </w:pPr>
          </w:p>
          <w:p w14:paraId="5FD01E6B" w14:textId="06C34623" w:rsidR="00323452" w:rsidRDefault="00323452" w:rsidP="00323452">
            <w:pPr>
              <w:pStyle w:val="Heading4"/>
              <w:shd w:val="clear" w:color="auto" w:fill="FFFFFF"/>
              <w:spacing w:before="0" w:beforeAutospacing="0" w:after="0" w:afterAutospacing="0" w:line="288" w:lineRule="atLeast"/>
              <w:contextualSpacing/>
              <w:rPr>
                <w:rStyle w:val="legds"/>
                <w:rFonts w:asciiTheme="minorHAnsi" w:hAnsiTheme="minorHAnsi" w:cstheme="minorHAnsi"/>
                <w:i/>
                <w:iCs/>
                <w:color w:val="000000"/>
                <w:sz w:val="22"/>
                <w:szCs w:val="22"/>
              </w:rPr>
            </w:pPr>
            <w:r w:rsidRPr="004C334C">
              <w:rPr>
                <w:rStyle w:val="legds"/>
                <w:rFonts w:asciiTheme="minorHAnsi" w:hAnsiTheme="minorHAnsi" w:cstheme="minorHAnsi"/>
                <w:i/>
                <w:iCs/>
                <w:color w:val="000000"/>
                <w:sz w:val="22"/>
                <w:szCs w:val="22"/>
              </w:rPr>
              <w:t>56 Time When Development begun.</w:t>
            </w:r>
          </w:p>
          <w:p w14:paraId="43DDB520" w14:textId="77777777" w:rsidR="00984DA3" w:rsidRPr="004C334C" w:rsidRDefault="00984DA3" w:rsidP="00323452">
            <w:pPr>
              <w:pStyle w:val="Heading4"/>
              <w:shd w:val="clear" w:color="auto" w:fill="FFFFFF"/>
              <w:spacing w:before="0" w:beforeAutospacing="0" w:after="0" w:afterAutospacing="0" w:line="288" w:lineRule="atLeast"/>
              <w:contextualSpacing/>
              <w:rPr>
                <w:rFonts w:asciiTheme="minorHAnsi" w:hAnsiTheme="minorHAnsi" w:cstheme="minorHAnsi"/>
                <w:i/>
                <w:iCs/>
                <w:color w:val="000000"/>
                <w:sz w:val="22"/>
                <w:szCs w:val="22"/>
              </w:rPr>
            </w:pPr>
          </w:p>
          <w:p w14:paraId="4E2BCB68" w14:textId="7EFD5858" w:rsidR="00323452" w:rsidRPr="004C334C" w:rsidRDefault="00323452" w:rsidP="00323452">
            <w:pPr>
              <w:pStyle w:val="legclearfix"/>
              <w:numPr>
                <w:ilvl w:val="0"/>
                <w:numId w:val="6"/>
              </w:numPr>
              <w:shd w:val="clear" w:color="auto" w:fill="FFFFFF"/>
              <w:spacing w:before="0" w:beforeAutospacing="0" w:after="0" w:afterAutospacing="0" w:line="360" w:lineRule="atLeast"/>
              <w:contextualSpacing/>
              <w:rPr>
                <w:rFonts w:asciiTheme="minorHAnsi" w:hAnsiTheme="minorHAnsi" w:cstheme="minorHAnsi"/>
                <w:i/>
                <w:iCs/>
                <w:color w:val="000000"/>
                <w:sz w:val="22"/>
                <w:szCs w:val="22"/>
              </w:rPr>
            </w:pPr>
            <w:r w:rsidRPr="004C334C">
              <w:rPr>
                <w:rStyle w:val="legds"/>
                <w:rFonts w:asciiTheme="minorHAnsi" w:hAnsiTheme="minorHAnsi" w:cstheme="minorHAnsi"/>
                <w:i/>
                <w:iCs/>
                <w:color w:val="000000"/>
                <w:sz w:val="22"/>
                <w:szCs w:val="22"/>
              </w:rPr>
              <w:t>Subject to the following provisions of this section, for the purposes of this Act development of land shall be taken to be initiated—</w:t>
            </w:r>
          </w:p>
          <w:p w14:paraId="3C809237" w14:textId="77777777" w:rsidR="00323452" w:rsidRPr="004C334C" w:rsidRDefault="00323452" w:rsidP="00323452">
            <w:pPr>
              <w:pStyle w:val="legclearfix"/>
              <w:numPr>
                <w:ilvl w:val="0"/>
                <w:numId w:val="7"/>
              </w:numPr>
              <w:shd w:val="clear" w:color="auto" w:fill="FFFFFF"/>
              <w:spacing w:before="0" w:beforeAutospacing="0" w:after="0" w:afterAutospacing="0" w:line="360" w:lineRule="atLeast"/>
              <w:contextualSpacing/>
              <w:rPr>
                <w:rStyle w:val="legds"/>
                <w:rFonts w:asciiTheme="minorHAnsi" w:hAnsiTheme="minorHAnsi" w:cstheme="minorHAnsi"/>
                <w:i/>
                <w:iCs/>
                <w:color w:val="000000"/>
                <w:sz w:val="22"/>
                <w:szCs w:val="22"/>
              </w:rPr>
            </w:pPr>
            <w:r w:rsidRPr="004C334C">
              <w:rPr>
                <w:rStyle w:val="legds"/>
                <w:rFonts w:asciiTheme="minorHAnsi" w:hAnsiTheme="minorHAnsi" w:cstheme="minorHAnsi"/>
                <w:i/>
                <w:iCs/>
                <w:color w:val="000000"/>
                <w:sz w:val="22"/>
                <w:szCs w:val="22"/>
              </w:rPr>
              <w:t>if the development consists of the carrying out of operations, at the time when those operations are begun;</w:t>
            </w:r>
          </w:p>
          <w:p w14:paraId="4316A280" w14:textId="77777777" w:rsidR="00323452" w:rsidRPr="004C334C" w:rsidRDefault="00323452" w:rsidP="00323452">
            <w:pPr>
              <w:pStyle w:val="legclearfix"/>
              <w:numPr>
                <w:ilvl w:val="0"/>
                <w:numId w:val="7"/>
              </w:numPr>
              <w:shd w:val="clear" w:color="auto" w:fill="FFFFFF"/>
              <w:spacing w:before="0" w:beforeAutospacing="0" w:after="0" w:afterAutospacing="0" w:line="360" w:lineRule="atLeast"/>
              <w:contextualSpacing/>
              <w:rPr>
                <w:rStyle w:val="legds"/>
                <w:rFonts w:asciiTheme="minorHAnsi" w:hAnsiTheme="minorHAnsi" w:cstheme="minorHAnsi"/>
                <w:i/>
                <w:iCs/>
                <w:color w:val="000000"/>
                <w:sz w:val="22"/>
                <w:szCs w:val="22"/>
              </w:rPr>
            </w:pPr>
            <w:r w:rsidRPr="004C334C">
              <w:rPr>
                <w:rStyle w:val="legds"/>
                <w:rFonts w:asciiTheme="minorHAnsi" w:hAnsiTheme="minorHAnsi" w:cstheme="minorHAnsi"/>
                <w:i/>
                <w:iCs/>
                <w:color w:val="000000"/>
                <w:sz w:val="22"/>
                <w:szCs w:val="22"/>
              </w:rPr>
              <w:t>if the development consists of a change in use, at the time when the new use is instituted;</w:t>
            </w:r>
          </w:p>
          <w:p w14:paraId="7E939E74" w14:textId="01A21BF1" w:rsidR="00323452" w:rsidRPr="004C334C" w:rsidRDefault="00323452" w:rsidP="00323452">
            <w:pPr>
              <w:pStyle w:val="legclearfix"/>
              <w:numPr>
                <w:ilvl w:val="0"/>
                <w:numId w:val="7"/>
              </w:numPr>
              <w:shd w:val="clear" w:color="auto" w:fill="FFFFFF"/>
              <w:spacing w:before="0" w:beforeAutospacing="0" w:after="0" w:afterAutospacing="0" w:line="360" w:lineRule="atLeast"/>
              <w:contextualSpacing/>
              <w:rPr>
                <w:rStyle w:val="legds"/>
                <w:rFonts w:asciiTheme="minorHAnsi" w:hAnsiTheme="minorHAnsi" w:cstheme="minorHAnsi"/>
                <w:i/>
                <w:iCs/>
                <w:color w:val="000000"/>
                <w:sz w:val="22"/>
                <w:szCs w:val="22"/>
              </w:rPr>
            </w:pPr>
            <w:r w:rsidRPr="004C334C">
              <w:rPr>
                <w:rStyle w:val="legds"/>
                <w:rFonts w:asciiTheme="minorHAnsi" w:hAnsiTheme="minorHAnsi" w:cstheme="minorHAnsi"/>
                <w:i/>
                <w:iCs/>
                <w:color w:val="000000"/>
                <w:sz w:val="22"/>
                <w:szCs w:val="22"/>
              </w:rPr>
              <w:t>if the development consists both of the carrying out of operations and of a change in use, at the earlier of the times mentioned in paragraphs (a) and (b).</w:t>
            </w:r>
          </w:p>
          <w:p w14:paraId="480254A5" w14:textId="77777777" w:rsidR="00BE6B34" w:rsidRPr="004C334C" w:rsidRDefault="00BE6B34" w:rsidP="00BE6B34">
            <w:pPr>
              <w:pStyle w:val="legclearfix"/>
              <w:shd w:val="clear" w:color="auto" w:fill="FFFFFF"/>
              <w:spacing w:before="0" w:beforeAutospacing="0" w:after="0" w:afterAutospacing="0" w:line="360" w:lineRule="atLeast"/>
              <w:ind w:left="720"/>
              <w:contextualSpacing/>
              <w:rPr>
                <w:rFonts w:asciiTheme="minorHAnsi" w:hAnsiTheme="minorHAnsi" w:cstheme="minorHAnsi"/>
                <w:i/>
                <w:iCs/>
                <w:color w:val="000000"/>
                <w:sz w:val="22"/>
                <w:szCs w:val="22"/>
              </w:rPr>
            </w:pPr>
          </w:p>
          <w:p w14:paraId="0032BA09" w14:textId="7AF6F6A3" w:rsidR="00323452" w:rsidRPr="004C334C" w:rsidRDefault="00323452" w:rsidP="00323452">
            <w:pPr>
              <w:pStyle w:val="legclearfix"/>
              <w:numPr>
                <w:ilvl w:val="0"/>
                <w:numId w:val="6"/>
              </w:numPr>
              <w:shd w:val="clear" w:color="auto" w:fill="FFFFFF"/>
              <w:spacing w:before="0" w:beforeAutospacing="0" w:after="0" w:afterAutospacing="0" w:line="360" w:lineRule="atLeast"/>
              <w:contextualSpacing/>
              <w:rPr>
                <w:rStyle w:val="legds"/>
                <w:rFonts w:asciiTheme="minorHAnsi" w:hAnsiTheme="minorHAnsi" w:cstheme="minorHAnsi"/>
                <w:i/>
                <w:iCs/>
                <w:color w:val="000000"/>
                <w:sz w:val="22"/>
                <w:szCs w:val="22"/>
              </w:rPr>
            </w:pPr>
            <w:r w:rsidRPr="004C334C">
              <w:rPr>
                <w:rStyle w:val="legds"/>
                <w:rFonts w:asciiTheme="minorHAnsi" w:hAnsiTheme="minorHAnsi" w:cstheme="minorHAnsi"/>
                <w:i/>
                <w:iCs/>
                <w:color w:val="000000"/>
                <w:sz w:val="22"/>
                <w:szCs w:val="22"/>
              </w:rPr>
              <w:lastRenderedPageBreak/>
              <w:t>For the purposes of the provisions of this Part mentioned in subsection (3) development shall be taken to be begun on the earliest date on which any material operation comprised in the development begins to be carried out.</w:t>
            </w:r>
          </w:p>
          <w:p w14:paraId="4EE76574" w14:textId="77777777" w:rsidR="00323452" w:rsidRPr="004C334C" w:rsidRDefault="00323452" w:rsidP="00323452">
            <w:pPr>
              <w:pStyle w:val="legclearfix"/>
              <w:shd w:val="clear" w:color="auto" w:fill="FFFFFF"/>
              <w:spacing w:before="0" w:beforeAutospacing="0" w:after="120" w:afterAutospacing="0" w:line="360" w:lineRule="atLeast"/>
              <w:rPr>
                <w:rFonts w:asciiTheme="minorHAnsi" w:hAnsiTheme="minorHAnsi" w:cstheme="minorHAnsi"/>
                <w:color w:val="000000"/>
                <w:sz w:val="22"/>
                <w:szCs w:val="22"/>
              </w:rPr>
            </w:pPr>
          </w:p>
          <w:p w14:paraId="4F5D34CE" w14:textId="37AC57BB" w:rsidR="00323452" w:rsidRPr="004C334C" w:rsidRDefault="00BE6B34" w:rsidP="00E91F51">
            <w:pPr>
              <w:contextualSpacing/>
              <w:jc w:val="both"/>
              <w:rPr>
                <w:rFonts w:asciiTheme="minorHAnsi" w:hAnsiTheme="minorHAnsi" w:cstheme="minorHAnsi"/>
                <w:bCs/>
                <w:szCs w:val="22"/>
              </w:rPr>
            </w:pPr>
            <w:r w:rsidRPr="004C334C">
              <w:rPr>
                <w:rFonts w:asciiTheme="minorHAnsi" w:hAnsiTheme="minorHAnsi" w:cstheme="minorHAnsi"/>
                <w:bCs/>
                <w:szCs w:val="22"/>
              </w:rPr>
              <w:t>With section 56 (4) defining ‘Material Operations’ as follows:</w:t>
            </w:r>
          </w:p>
          <w:p w14:paraId="61CBFC16" w14:textId="77777777" w:rsidR="00BE6B34" w:rsidRPr="004C334C" w:rsidRDefault="00BE6B34" w:rsidP="00E91F51">
            <w:pPr>
              <w:contextualSpacing/>
              <w:jc w:val="both"/>
              <w:rPr>
                <w:rFonts w:asciiTheme="minorHAnsi" w:hAnsiTheme="minorHAnsi" w:cstheme="minorHAnsi"/>
                <w:bCs/>
                <w:szCs w:val="22"/>
              </w:rPr>
            </w:pPr>
          </w:p>
          <w:p w14:paraId="7E182401" w14:textId="77777777" w:rsidR="00BE6B34" w:rsidRPr="004C334C" w:rsidRDefault="00BE6B34" w:rsidP="00BE6B34">
            <w:pPr>
              <w:pStyle w:val="ListParagraph"/>
              <w:numPr>
                <w:ilvl w:val="0"/>
                <w:numId w:val="6"/>
              </w:numPr>
              <w:shd w:val="clear" w:color="auto" w:fill="FFFFFF"/>
              <w:overflowPunct/>
              <w:autoSpaceDE/>
              <w:autoSpaceDN/>
              <w:adjustRightInd/>
              <w:spacing w:after="120" w:line="360" w:lineRule="atLeast"/>
              <w:contextualSpacing w:val="0"/>
              <w:textAlignment w:val="auto"/>
              <w:rPr>
                <w:rStyle w:val="legds2"/>
                <w:rFonts w:asciiTheme="minorHAnsi" w:hAnsiTheme="minorHAnsi" w:cstheme="minorHAnsi"/>
                <w:vanish/>
                <w:color w:val="000000"/>
                <w:szCs w:val="22"/>
                <w:lang w:val="en" w:eastAsia="en-GB"/>
              </w:rPr>
            </w:pPr>
          </w:p>
          <w:p w14:paraId="4A5818EC" w14:textId="77777777" w:rsidR="00BE6B34" w:rsidRPr="004C334C" w:rsidRDefault="00BE6B34" w:rsidP="00BE6B34">
            <w:pPr>
              <w:pStyle w:val="legclearfix2"/>
              <w:numPr>
                <w:ilvl w:val="0"/>
                <w:numId w:val="6"/>
              </w:numPr>
              <w:spacing w:after="0"/>
              <w:ind w:hanging="357"/>
              <w:rPr>
                <w:rStyle w:val="legds2"/>
                <w:rFonts w:asciiTheme="minorHAnsi" w:hAnsiTheme="minorHAnsi" w:cstheme="minorHAnsi"/>
                <w:i/>
                <w:iCs/>
                <w:sz w:val="22"/>
                <w:szCs w:val="22"/>
                <w:lang w:val="en"/>
              </w:rPr>
            </w:pPr>
            <w:r w:rsidRPr="004C334C">
              <w:rPr>
                <w:rStyle w:val="legds2"/>
                <w:rFonts w:asciiTheme="minorHAnsi" w:hAnsiTheme="minorHAnsi" w:cstheme="minorHAnsi"/>
                <w:i/>
                <w:iCs/>
                <w:sz w:val="22"/>
                <w:szCs w:val="22"/>
                <w:lang w:val="en"/>
                <w:specVanish w:val="0"/>
              </w:rPr>
              <w:t>In subsection (2) “</w:t>
            </w:r>
            <w:r w:rsidRPr="004C334C">
              <w:rPr>
                <w:rStyle w:val="legterm"/>
                <w:rFonts w:asciiTheme="minorHAnsi" w:hAnsiTheme="minorHAnsi" w:cstheme="minorHAnsi"/>
                <w:i/>
                <w:iCs/>
                <w:sz w:val="22"/>
                <w:szCs w:val="22"/>
                <w:lang w:val="en"/>
              </w:rPr>
              <w:t>material operation</w:t>
            </w:r>
            <w:r w:rsidRPr="004C334C">
              <w:rPr>
                <w:rStyle w:val="legds2"/>
                <w:rFonts w:asciiTheme="minorHAnsi" w:hAnsiTheme="minorHAnsi" w:cstheme="minorHAnsi"/>
                <w:i/>
                <w:iCs/>
                <w:sz w:val="22"/>
                <w:szCs w:val="22"/>
                <w:lang w:val="en"/>
                <w:specVanish w:val="0"/>
              </w:rPr>
              <w:t>” means—</w:t>
            </w:r>
          </w:p>
          <w:p w14:paraId="321EF583" w14:textId="77777777" w:rsidR="00BE6B34" w:rsidRPr="004C334C" w:rsidRDefault="00BE6B34" w:rsidP="00BE6B34">
            <w:pPr>
              <w:pStyle w:val="legclearfix2"/>
              <w:numPr>
                <w:ilvl w:val="0"/>
                <w:numId w:val="8"/>
              </w:numPr>
              <w:spacing w:after="0"/>
              <w:ind w:hanging="357"/>
              <w:rPr>
                <w:rStyle w:val="legaddition5"/>
                <w:rFonts w:asciiTheme="minorHAnsi" w:hAnsiTheme="minorHAnsi" w:cstheme="minorHAnsi"/>
                <w:i/>
                <w:iCs/>
                <w:sz w:val="22"/>
                <w:szCs w:val="22"/>
                <w:lang w:val="en"/>
              </w:rPr>
            </w:pPr>
            <w:r w:rsidRPr="004C334C">
              <w:rPr>
                <w:rFonts w:asciiTheme="minorHAnsi" w:hAnsiTheme="minorHAnsi" w:cstheme="minorHAnsi"/>
                <w:i/>
                <w:iCs/>
                <w:sz w:val="22"/>
                <w:szCs w:val="22"/>
                <w:lang w:val="en"/>
              </w:rPr>
              <w:t>any work of construction in the course of the erection of a building;</w:t>
            </w:r>
            <w:r w:rsidRPr="004C334C">
              <w:rPr>
                <w:rStyle w:val="legaddition5"/>
                <w:rFonts w:asciiTheme="minorHAnsi" w:hAnsiTheme="minorHAnsi" w:cstheme="minorHAnsi"/>
                <w:i/>
                <w:iCs/>
                <w:sz w:val="22"/>
                <w:szCs w:val="22"/>
                <w:lang w:val="en"/>
              </w:rPr>
              <w:t xml:space="preserve"> (aa)any work of demolition of a building;</w:t>
            </w:r>
          </w:p>
          <w:p w14:paraId="0C9A5862" w14:textId="77777777" w:rsidR="00BE6B34" w:rsidRPr="004C334C" w:rsidRDefault="00BE6B34" w:rsidP="00BE6B34">
            <w:pPr>
              <w:pStyle w:val="legclearfix2"/>
              <w:numPr>
                <w:ilvl w:val="0"/>
                <w:numId w:val="8"/>
              </w:numPr>
              <w:spacing w:after="0"/>
              <w:ind w:hanging="357"/>
              <w:rPr>
                <w:rFonts w:asciiTheme="minorHAnsi" w:hAnsiTheme="minorHAnsi" w:cstheme="minorHAnsi"/>
                <w:i/>
                <w:iCs/>
                <w:sz w:val="22"/>
                <w:szCs w:val="22"/>
                <w:lang w:val="en"/>
              </w:rPr>
            </w:pPr>
            <w:r w:rsidRPr="004C334C">
              <w:rPr>
                <w:rFonts w:asciiTheme="minorHAnsi" w:hAnsiTheme="minorHAnsi" w:cstheme="minorHAnsi"/>
                <w:i/>
                <w:iCs/>
                <w:sz w:val="22"/>
                <w:szCs w:val="22"/>
                <w:lang w:val="en"/>
              </w:rPr>
              <w:t>the digging of a trench which is to contain the foundations, or part of the foundations, of a building;</w:t>
            </w:r>
          </w:p>
          <w:p w14:paraId="346A3C33" w14:textId="77777777" w:rsidR="00BE6B34" w:rsidRPr="004C334C" w:rsidRDefault="00BE6B34" w:rsidP="00BE6B34">
            <w:pPr>
              <w:pStyle w:val="legclearfix2"/>
              <w:numPr>
                <w:ilvl w:val="0"/>
                <w:numId w:val="8"/>
              </w:numPr>
              <w:spacing w:after="0"/>
              <w:ind w:hanging="357"/>
              <w:rPr>
                <w:rFonts w:asciiTheme="minorHAnsi" w:hAnsiTheme="minorHAnsi" w:cstheme="minorHAnsi"/>
                <w:i/>
                <w:iCs/>
                <w:sz w:val="22"/>
                <w:szCs w:val="22"/>
                <w:lang w:val="en"/>
              </w:rPr>
            </w:pPr>
            <w:r w:rsidRPr="004C334C">
              <w:rPr>
                <w:rFonts w:asciiTheme="minorHAnsi" w:hAnsiTheme="minorHAnsi" w:cstheme="minorHAnsi"/>
                <w:i/>
                <w:iCs/>
                <w:sz w:val="22"/>
                <w:szCs w:val="22"/>
                <w:lang w:val="en"/>
              </w:rPr>
              <w:t>the laying of any underground main or pipe to the foundations, or part of the foundations, of a building or to any such trench as is mentioned in paragraph (b);</w:t>
            </w:r>
          </w:p>
          <w:p w14:paraId="53E13190" w14:textId="77777777" w:rsidR="00BE6B34" w:rsidRPr="004C334C" w:rsidRDefault="00BE6B34" w:rsidP="00BE6B34">
            <w:pPr>
              <w:pStyle w:val="legclearfix2"/>
              <w:numPr>
                <w:ilvl w:val="0"/>
                <w:numId w:val="8"/>
              </w:numPr>
              <w:spacing w:after="0"/>
              <w:ind w:hanging="357"/>
              <w:rPr>
                <w:rFonts w:asciiTheme="minorHAnsi" w:hAnsiTheme="minorHAnsi" w:cstheme="minorHAnsi"/>
                <w:i/>
                <w:iCs/>
                <w:sz w:val="22"/>
                <w:szCs w:val="22"/>
                <w:lang w:val="en"/>
              </w:rPr>
            </w:pPr>
            <w:r w:rsidRPr="004C334C">
              <w:rPr>
                <w:rFonts w:asciiTheme="minorHAnsi" w:hAnsiTheme="minorHAnsi" w:cstheme="minorHAnsi"/>
                <w:i/>
                <w:iCs/>
                <w:sz w:val="22"/>
                <w:szCs w:val="22"/>
                <w:lang w:val="en"/>
              </w:rPr>
              <w:t>any operation in the course of laying out or constructing a road or part of a road;</w:t>
            </w:r>
          </w:p>
          <w:p w14:paraId="1F2D4AE0" w14:textId="1618E3A0" w:rsidR="00BE6B34" w:rsidRPr="004C334C" w:rsidRDefault="00BE6B34" w:rsidP="00BE6B34">
            <w:pPr>
              <w:pStyle w:val="legclearfix2"/>
              <w:numPr>
                <w:ilvl w:val="0"/>
                <w:numId w:val="8"/>
              </w:numPr>
              <w:spacing w:after="0"/>
              <w:ind w:hanging="357"/>
              <w:rPr>
                <w:rFonts w:asciiTheme="minorHAnsi" w:hAnsiTheme="minorHAnsi" w:cstheme="minorHAnsi"/>
                <w:i/>
                <w:iCs/>
                <w:sz w:val="22"/>
                <w:szCs w:val="22"/>
                <w:lang w:val="en"/>
              </w:rPr>
            </w:pPr>
            <w:r w:rsidRPr="004C334C">
              <w:rPr>
                <w:rFonts w:asciiTheme="minorHAnsi" w:hAnsiTheme="minorHAnsi" w:cstheme="minorHAnsi"/>
                <w:i/>
                <w:iCs/>
                <w:sz w:val="22"/>
                <w:szCs w:val="22"/>
                <w:lang w:val="en"/>
              </w:rPr>
              <w:t>any change in the use of any land which constitutes material development.</w:t>
            </w:r>
          </w:p>
          <w:p w14:paraId="41268BB7" w14:textId="77777777" w:rsidR="00BE6B34" w:rsidRDefault="00BE6B34" w:rsidP="00E91F51">
            <w:pPr>
              <w:contextualSpacing/>
              <w:jc w:val="both"/>
              <w:rPr>
                <w:rFonts w:asciiTheme="minorHAnsi" w:hAnsiTheme="minorHAnsi" w:cstheme="minorHAnsi"/>
                <w:bCs/>
                <w:szCs w:val="22"/>
              </w:rPr>
            </w:pPr>
          </w:p>
          <w:p w14:paraId="54143465" w14:textId="77777777" w:rsidR="00272003" w:rsidRPr="004C334C" w:rsidRDefault="00272003" w:rsidP="00E91F51">
            <w:pPr>
              <w:contextualSpacing/>
              <w:jc w:val="both"/>
              <w:rPr>
                <w:rFonts w:asciiTheme="minorHAnsi" w:hAnsiTheme="minorHAnsi" w:cstheme="minorHAnsi"/>
                <w:bCs/>
                <w:szCs w:val="22"/>
              </w:rPr>
            </w:pPr>
          </w:p>
          <w:p w14:paraId="752A0D94" w14:textId="77777777" w:rsidR="0094039A" w:rsidRDefault="0094039A" w:rsidP="00F72725">
            <w:pPr>
              <w:pStyle w:val="Header"/>
              <w:tabs>
                <w:tab w:val="clear" w:pos="4153"/>
                <w:tab w:val="clear" w:pos="8306"/>
              </w:tabs>
              <w:contextualSpacing/>
              <w:jc w:val="both"/>
              <w:rPr>
                <w:rFonts w:asciiTheme="minorHAnsi" w:hAnsiTheme="minorHAnsi"/>
                <w:bCs/>
                <w:szCs w:val="22"/>
              </w:rPr>
            </w:pPr>
            <w:r w:rsidRPr="00272003">
              <w:rPr>
                <w:rFonts w:asciiTheme="minorHAnsi" w:hAnsiTheme="minorHAnsi" w:cstheme="minorHAnsi"/>
                <w:bCs/>
                <w:szCs w:val="22"/>
              </w:rPr>
              <w:t xml:space="preserve">The applicant has provided photographic evidence </w:t>
            </w:r>
            <w:r w:rsidR="00F178B2" w:rsidRPr="00272003">
              <w:rPr>
                <w:rFonts w:asciiTheme="minorHAnsi" w:hAnsiTheme="minorHAnsi" w:cstheme="minorHAnsi"/>
                <w:bCs/>
                <w:szCs w:val="22"/>
              </w:rPr>
              <w:t xml:space="preserve">in respect of the demolition of the domestic garage associated with number 74 Higher Road, with the </w:t>
            </w:r>
            <w:r w:rsidR="00272003" w:rsidRPr="00272003">
              <w:rPr>
                <w:rFonts w:asciiTheme="minorHAnsi" w:hAnsiTheme="minorHAnsi" w:cstheme="minorHAnsi"/>
                <w:bCs/>
                <w:szCs w:val="22"/>
              </w:rPr>
              <w:t xml:space="preserve">timestamping </w:t>
            </w:r>
            <w:r w:rsidR="00F178B2" w:rsidRPr="00272003">
              <w:rPr>
                <w:rFonts w:asciiTheme="minorHAnsi" w:hAnsiTheme="minorHAnsi" w:cstheme="minorHAnsi"/>
                <w:bCs/>
                <w:szCs w:val="22"/>
              </w:rPr>
              <w:t xml:space="preserve">of the photographs </w:t>
            </w:r>
            <w:r w:rsidR="00272003" w:rsidRPr="00272003">
              <w:rPr>
                <w:rFonts w:asciiTheme="minorHAnsi" w:hAnsiTheme="minorHAnsi" w:cstheme="minorHAnsi"/>
                <w:bCs/>
                <w:szCs w:val="22"/>
              </w:rPr>
              <w:t>indicating that the works were undertaken on the 2</w:t>
            </w:r>
            <w:r w:rsidR="00272003" w:rsidRPr="00272003">
              <w:rPr>
                <w:rFonts w:asciiTheme="minorHAnsi" w:hAnsiTheme="minorHAnsi" w:cstheme="minorHAnsi"/>
                <w:bCs/>
                <w:szCs w:val="22"/>
                <w:vertAlign w:val="superscript"/>
              </w:rPr>
              <w:t>nd</w:t>
            </w:r>
            <w:r w:rsidR="00272003" w:rsidRPr="00272003">
              <w:rPr>
                <w:rFonts w:asciiTheme="minorHAnsi" w:hAnsiTheme="minorHAnsi" w:cstheme="minorHAnsi"/>
                <w:bCs/>
                <w:szCs w:val="22"/>
              </w:rPr>
              <w:t xml:space="preserve"> of May 2024, approximately 18 days prior to the expiration of the time limit that would be engaged by virtue of the granting of reserved matters consent 2021/0556 on the 20</w:t>
            </w:r>
            <w:r w:rsidR="00272003" w:rsidRPr="00272003">
              <w:rPr>
                <w:rFonts w:asciiTheme="minorHAnsi" w:hAnsiTheme="minorHAnsi" w:cstheme="minorHAnsi"/>
                <w:bCs/>
                <w:szCs w:val="22"/>
                <w:vertAlign w:val="superscript"/>
              </w:rPr>
              <w:t>th</w:t>
            </w:r>
            <w:r w:rsidR="00272003" w:rsidRPr="00272003">
              <w:rPr>
                <w:rFonts w:asciiTheme="minorHAnsi" w:hAnsiTheme="minorHAnsi" w:cstheme="minorHAnsi"/>
                <w:bCs/>
                <w:szCs w:val="22"/>
              </w:rPr>
              <w:t xml:space="preserve"> of May 2022.</w:t>
            </w:r>
          </w:p>
          <w:p w14:paraId="6D08010B" w14:textId="77777777" w:rsidR="00272003" w:rsidRDefault="00272003" w:rsidP="00F72725">
            <w:pPr>
              <w:pStyle w:val="Header"/>
              <w:tabs>
                <w:tab w:val="clear" w:pos="4153"/>
                <w:tab w:val="clear" w:pos="8306"/>
              </w:tabs>
              <w:contextualSpacing/>
              <w:jc w:val="both"/>
              <w:rPr>
                <w:rFonts w:asciiTheme="minorHAnsi" w:hAnsiTheme="minorHAnsi"/>
                <w:bCs/>
                <w:szCs w:val="22"/>
              </w:rPr>
            </w:pPr>
          </w:p>
          <w:p w14:paraId="5E4A3645" w14:textId="5AB01D55" w:rsidR="00272003" w:rsidRDefault="00272003" w:rsidP="00F72725">
            <w:pPr>
              <w:pStyle w:val="Header"/>
              <w:tabs>
                <w:tab w:val="clear" w:pos="4153"/>
                <w:tab w:val="clear" w:pos="8306"/>
              </w:tabs>
              <w:contextualSpacing/>
              <w:jc w:val="both"/>
              <w:rPr>
                <w:rFonts w:asciiTheme="minorHAnsi" w:hAnsiTheme="minorHAnsi"/>
                <w:bCs/>
                <w:szCs w:val="22"/>
              </w:rPr>
            </w:pPr>
            <w:r>
              <w:rPr>
                <w:rFonts w:asciiTheme="minorHAnsi" w:hAnsiTheme="minorHAnsi"/>
                <w:bCs/>
                <w:szCs w:val="22"/>
              </w:rPr>
              <w:t xml:space="preserve">In respect of the works undertaken on site, it is considered that they would constitute ‘material operations’ as defined within </w:t>
            </w:r>
            <w:r w:rsidRPr="00272003">
              <w:rPr>
                <w:rFonts w:asciiTheme="minorHAnsi" w:hAnsiTheme="minorHAnsi"/>
                <w:bCs/>
                <w:szCs w:val="22"/>
              </w:rPr>
              <w:t>Sec</w:t>
            </w:r>
            <w:r>
              <w:rPr>
                <w:rFonts w:asciiTheme="minorHAnsi" w:hAnsiTheme="minorHAnsi"/>
                <w:bCs/>
                <w:szCs w:val="22"/>
              </w:rPr>
              <w:t xml:space="preserve">tion </w:t>
            </w:r>
            <w:r w:rsidRPr="00272003">
              <w:rPr>
                <w:rFonts w:asciiTheme="minorHAnsi" w:hAnsiTheme="minorHAnsi"/>
                <w:bCs/>
                <w:szCs w:val="22"/>
              </w:rPr>
              <w:t>56 (4)(aa)</w:t>
            </w:r>
            <w:r>
              <w:rPr>
                <w:rFonts w:asciiTheme="minorHAnsi" w:hAnsiTheme="minorHAnsi"/>
                <w:bCs/>
                <w:szCs w:val="22"/>
              </w:rPr>
              <w:t xml:space="preserve"> of The Act in that they involve </w:t>
            </w:r>
            <w:r w:rsidRPr="00272003">
              <w:rPr>
                <w:rFonts w:asciiTheme="minorHAnsi" w:hAnsiTheme="minorHAnsi"/>
                <w:bCs/>
                <w:i/>
                <w:iCs/>
                <w:szCs w:val="22"/>
              </w:rPr>
              <w:t>‘any work of demolition of a building’.</w:t>
            </w:r>
          </w:p>
          <w:p w14:paraId="07A958AF" w14:textId="262AEB8C" w:rsidR="00272003" w:rsidRDefault="00272003" w:rsidP="00F72725">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72AE57CD" w14:textId="0E47BFF0" w:rsidR="00BE6B34" w:rsidRPr="0043614D" w:rsidRDefault="004C334C" w:rsidP="004C334C">
            <w:pPr>
              <w:contextualSpacing/>
              <w:jc w:val="both"/>
              <w:rPr>
                <w:rFonts w:ascii="Calibri" w:hAnsi="Calibri"/>
                <w:bCs/>
                <w:color w:val="FF0000"/>
                <w:szCs w:val="22"/>
              </w:rPr>
            </w:pPr>
            <w:r w:rsidRPr="00891CEE">
              <w:rPr>
                <w:rFonts w:ascii="Calibri" w:hAnsi="Calibri"/>
                <w:bCs/>
                <w:szCs w:val="22"/>
              </w:rPr>
              <w:t xml:space="preserve">On a balance of probability, based on the submitted evidence and in the absence of any other evidence to dispute the submitted supporting information, it is considered that </w:t>
            </w:r>
            <w:r w:rsidR="00BE6B34" w:rsidRPr="00891CEE">
              <w:rPr>
                <w:rFonts w:ascii="Calibri" w:hAnsi="Calibri"/>
                <w:bCs/>
                <w:szCs w:val="22"/>
              </w:rPr>
              <w:t>work</w:t>
            </w:r>
            <w:r w:rsidRPr="00891CEE">
              <w:rPr>
                <w:rFonts w:ascii="Calibri" w:hAnsi="Calibri"/>
                <w:bCs/>
                <w:szCs w:val="22"/>
              </w:rPr>
              <w:t>s</w:t>
            </w:r>
            <w:r w:rsidR="00BE6B34" w:rsidRPr="00891CEE">
              <w:rPr>
                <w:rFonts w:ascii="Calibri" w:hAnsi="Calibri"/>
                <w:bCs/>
                <w:szCs w:val="22"/>
              </w:rPr>
              <w:t xml:space="preserve"> have commenced on site for the </w:t>
            </w:r>
            <w:r w:rsidR="00891CEE" w:rsidRPr="00891CEE">
              <w:rPr>
                <w:rFonts w:ascii="Calibri" w:hAnsi="Calibri"/>
                <w:bCs/>
                <w:szCs w:val="22"/>
              </w:rPr>
              <w:t xml:space="preserve">demolition of an existing vehicular garage </w:t>
            </w:r>
            <w:r w:rsidRPr="00502BAC">
              <w:rPr>
                <w:rFonts w:ascii="Calibri" w:hAnsi="Calibri"/>
                <w:bCs/>
                <w:szCs w:val="22"/>
              </w:rPr>
              <w:t xml:space="preserve">pursuant to planning </w:t>
            </w:r>
            <w:r w:rsidR="00502BAC" w:rsidRPr="00502BAC">
              <w:rPr>
                <w:rFonts w:ascii="Calibri" w:hAnsi="Calibri"/>
                <w:bCs/>
                <w:szCs w:val="22"/>
              </w:rPr>
              <w:t xml:space="preserve">consents </w:t>
            </w:r>
            <w:r w:rsidR="00741839">
              <w:rPr>
                <w:rFonts w:ascii="Calibri" w:hAnsi="Calibri"/>
                <w:bCs/>
                <w:szCs w:val="22"/>
              </w:rPr>
              <w:t>3/2016/1082</w:t>
            </w:r>
            <w:r w:rsidR="002324B1">
              <w:rPr>
                <w:rFonts w:ascii="Calibri" w:hAnsi="Calibri"/>
                <w:bCs/>
                <w:szCs w:val="22"/>
              </w:rPr>
              <w:t xml:space="preserve">, </w:t>
            </w:r>
            <w:r w:rsidR="00502BAC" w:rsidRPr="00502BAC">
              <w:rPr>
                <w:rFonts w:ascii="Calibri" w:hAnsi="Calibri"/>
                <w:bCs/>
                <w:szCs w:val="22"/>
              </w:rPr>
              <w:t>3/2023/0584 and 3/2023/0585</w:t>
            </w:r>
            <w:r w:rsidRPr="00502BAC">
              <w:rPr>
                <w:rFonts w:ascii="Calibri" w:hAnsi="Calibri"/>
                <w:bCs/>
                <w:szCs w:val="22"/>
              </w:rPr>
              <w:t xml:space="preserve">, </w:t>
            </w:r>
            <w:r w:rsidRPr="00891CEE">
              <w:rPr>
                <w:rFonts w:ascii="Calibri" w:hAnsi="Calibri"/>
                <w:bCs/>
                <w:szCs w:val="22"/>
              </w:rPr>
              <w:t xml:space="preserve">as defined </w:t>
            </w:r>
            <w:r w:rsidR="00BE6B34" w:rsidRPr="00891CEE">
              <w:rPr>
                <w:rFonts w:ascii="Calibri" w:hAnsi="Calibri"/>
                <w:bCs/>
                <w:szCs w:val="22"/>
              </w:rPr>
              <w:t>with</w:t>
            </w:r>
            <w:r w:rsidRPr="00891CEE">
              <w:rPr>
                <w:rFonts w:ascii="Calibri" w:hAnsi="Calibri"/>
                <w:bCs/>
                <w:szCs w:val="22"/>
              </w:rPr>
              <w:t>in</w:t>
            </w:r>
            <w:r w:rsidR="00BE6B34" w:rsidRPr="00891CEE">
              <w:rPr>
                <w:rFonts w:ascii="Calibri" w:hAnsi="Calibri"/>
                <w:bCs/>
                <w:szCs w:val="22"/>
              </w:rPr>
              <w:t xml:space="preserve"> S.56 (4)(</w:t>
            </w:r>
            <w:r w:rsidR="00891CEE" w:rsidRPr="00891CEE">
              <w:rPr>
                <w:rFonts w:ascii="Calibri" w:hAnsi="Calibri"/>
                <w:bCs/>
                <w:szCs w:val="22"/>
              </w:rPr>
              <w:t>a</w:t>
            </w:r>
            <w:r w:rsidR="00502BAC">
              <w:rPr>
                <w:rFonts w:ascii="Calibri" w:hAnsi="Calibri"/>
                <w:bCs/>
                <w:szCs w:val="22"/>
              </w:rPr>
              <w:t>a</w:t>
            </w:r>
            <w:r w:rsidR="00BE6B34" w:rsidRPr="00891CEE">
              <w:rPr>
                <w:rFonts w:ascii="Calibri" w:hAnsi="Calibri"/>
                <w:bCs/>
                <w:szCs w:val="22"/>
              </w:rPr>
              <w:t>)</w:t>
            </w:r>
            <w:r w:rsidRPr="00891CEE">
              <w:rPr>
                <w:rFonts w:ascii="Calibri" w:hAnsi="Calibri"/>
                <w:bCs/>
                <w:szCs w:val="22"/>
              </w:rPr>
              <w:t xml:space="preserve"> of the Town and Country Planning Act</w:t>
            </w:r>
            <w:r w:rsidR="00BE6B34" w:rsidRPr="00891CEE">
              <w:rPr>
                <w:rFonts w:ascii="Calibri" w:hAnsi="Calibri"/>
                <w:bCs/>
                <w:szCs w:val="22"/>
              </w:rPr>
              <w:t>.</w:t>
            </w:r>
          </w:p>
          <w:p w14:paraId="256B3BB3" w14:textId="77777777" w:rsidR="00BE6B34" w:rsidRPr="0043614D" w:rsidRDefault="00BE6B34" w:rsidP="00BE6B34">
            <w:pPr>
              <w:pStyle w:val="Header"/>
              <w:contextualSpacing/>
              <w:jc w:val="both"/>
              <w:rPr>
                <w:rFonts w:ascii="Calibri" w:hAnsi="Calibri"/>
                <w:bCs/>
                <w:color w:val="FF0000"/>
                <w:szCs w:val="22"/>
              </w:rPr>
            </w:pPr>
          </w:p>
          <w:p w14:paraId="4D1E2EFC" w14:textId="447D2E94" w:rsidR="009F4443" w:rsidRPr="0043614D" w:rsidRDefault="00BE6B34" w:rsidP="00BE6B34">
            <w:pPr>
              <w:pStyle w:val="Header"/>
              <w:tabs>
                <w:tab w:val="clear" w:pos="4153"/>
                <w:tab w:val="clear" w:pos="8306"/>
              </w:tabs>
              <w:contextualSpacing/>
              <w:jc w:val="both"/>
              <w:rPr>
                <w:rFonts w:ascii="Calibri" w:hAnsi="Calibri"/>
                <w:bCs/>
                <w:color w:val="FF0000"/>
                <w:szCs w:val="22"/>
              </w:rPr>
            </w:pPr>
            <w:r w:rsidRPr="00502BAC">
              <w:rPr>
                <w:rFonts w:ascii="Calibri" w:hAnsi="Calibri"/>
                <w:bCs/>
                <w:szCs w:val="22"/>
              </w:rPr>
              <w:t xml:space="preserve">Taking into account the above, it is considered that the </w:t>
            </w:r>
            <w:r w:rsidR="00A959FF" w:rsidRPr="00502BAC">
              <w:rPr>
                <w:rFonts w:ascii="Calibri" w:hAnsi="Calibri"/>
                <w:bCs/>
                <w:szCs w:val="22"/>
              </w:rPr>
              <w:t>demolition of the garage associated with 74 Higher Road</w:t>
            </w:r>
            <w:r w:rsidR="00502BAC" w:rsidRPr="00502BAC">
              <w:rPr>
                <w:rFonts w:ascii="Calibri" w:hAnsi="Calibri"/>
                <w:bCs/>
                <w:szCs w:val="22"/>
              </w:rPr>
              <w:t xml:space="preserve"> </w:t>
            </w:r>
            <w:r w:rsidR="00A959FF" w:rsidRPr="00502BAC">
              <w:rPr>
                <w:rFonts w:ascii="Calibri" w:hAnsi="Calibri"/>
                <w:bCs/>
                <w:szCs w:val="22"/>
              </w:rPr>
              <w:t>Longridge constitutes</w:t>
            </w:r>
            <w:r w:rsidRPr="00502BAC">
              <w:rPr>
                <w:rFonts w:ascii="Calibri" w:hAnsi="Calibri"/>
                <w:bCs/>
                <w:szCs w:val="22"/>
              </w:rPr>
              <w:t xml:space="preserve"> a material operation as listed at </w:t>
            </w:r>
            <w:r w:rsidR="00502BAC" w:rsidRPr="00502BAC">
              <w:rPr>
                <w:rFonts w:ascii="Calibri" w:hAnsi="Calibri"/>
                <w:bCs/>
                <w:szCs w:val="22"/>
              </w:rPr>
              <w:t>S</w:t>
            </w:r>
            <w:r w:rsidRPr="00502BAC">
              <w:rPr>
                <w:rFonts w:ascii="Calibri" w:hAnsi="Calibri"/>
                <w:bCs/>
                <w:szCs w:val="22"/>
              </w:rPr>
              <w:t>ec.56 (4)</w:t>
            </w:r>
            <w:r w:rsidR="00A959FF" w:rsidRPr="00502BAC">
              <w:rPr>
                <w:rFonts w:ascii="Calibri" w:hAnsi="Calibri"/>
                <w:bCs/>
                <w:szCs w:val="22"/>
              </w:rPr>
              <w:t>(aa)</w:t>
            </w:r>
            <w:r w:rsidRPr="00502BAC">
              <w:rPr>
                <w:rFonts w:ascii="Calibri" w:hAnsi="Calibri"/>
                <w:bCs/>
                <w:szCs w:val="22"/>
              </w:rPr>
              <w:t xml:space="preserve"> and </w:t>
            </w:r>
            <w:r w:rsidR="004C334C" w:rsidRPr="00502BAC">
              <w:rPr>
                <w:rFonts w:ascii="Calibri" w:hAnsi="Calibri"/>
                <w:bCs/>
                <w:szCs w:val="22"/>
              </w:rPr>
              <w:t xml:space="preserve">as such </w:t>
            </w:r>
            <w:r w:rsidRPr="00502BAC">
              <w:rPr>
                <w:rFonts w:ascii="Calibri" w:hAnsi="Calibri"/>
                <w:bCs/>
                <w:szCs w:val="22"/>
              </w:rPr>
              <w:t xml:space="preserve">the development </w:t>
            </w:r>
            <w:r w:rsidR="004C334C" w:rsidRPr="00502BAC">
              <w:rPr>
                <w:rFonts w:ascii="Calibri" w:hAnsi="Calibri"/>
                <w:bCs/>
                <w:szCs w:val="22"/>
              </w:rPr>
              <w:t>to which the application relates (pursuant to planning consent</w:t>
            </w:r>
            <w:r w:rsidR="00502BAC" w:rsidRPr="00502BAC">
              <w:rPr>
                <w:rFonts w:ascii="Calibri" w:hAnsi="Calibri"/>
                <w:bCs/>
                <w:szCs w:val="22"/>
              </w:rPr>
              <w:t>(s)</w:t>
            </w:r>
            <w:r w:rsidR="004C334C" w:rsidRPr="00502BAC">
              <w:rPr>
                <w:rFonts w:ascii="Calibri" w:hAnsi="Calibri"/>
                <w:bCs/>
                <w:szCs w:val="22"/>
              </w:rPr>
              <w:t xml:space="preserve"> </w:t>
            </w:r>
            <w:r w:rsidR="00741839">
              <w:rPr>
                <w:rFonts w:ascii="Calibri" w:hAnsi="Calibri"/>
                <w:bCs/>
                <w:szCs w:val="22"/>
              </w:rPr>
              <w:t xml:space="preserve">3/2016/1082, </w:t>
            </w:r>
            <w:r w:rsidR="00502BAC" w:rsidRPr="00502BAC">
              <w:rPr>
                <w:rFonts w:ascii="Calibri" w:hAnsi="Calibri"/>
                <w:bCs/>
                <w:szCs w:val="22"/>
              </w:rPr>
              <w:t>3/2023/0584 and 3/2023/0585</w:t>
            </w:r>
            <w:r w:rsidR="004C334C" w:rsidRPr="00502BAC">
              <w:rPr>
                <w:rFonts w:ascii="Calibri" w:hAnsi="Calibri"/>
                <w:bCs/>
                <w:szCs w:val="22"/>
              </w:rPr>
              <w:t xml:space="preserve">) </w:t>
            </w:r>
            <w:r w:rsidRPr="00502BAC">
              <w:rPr>
                <w:rFonts w:ascii="Calibri" w:hAnsi="Calibri"/>
                <w:bCs/>
                <w:szCs w:val="22"/>
              </w:rPr>
              <w:t xml:space="preserve">has </w:t>
            </w:r>
            <w:r w:rsidRPr="00891CEE">
              <w:rPr>
                <w:rFonts w:ascii="Calibri" w:hAnsi="Calibri"/>
                <w:bCs/>
                <w:szCs w:val="22"/>
              </w:rPr>
              <w:t xml:space="preserve">been lawfully </w:t>
            </w:r>
            <w:r w:rsidR="004C334C" w:rsidRPr="00891CEE">
              <w:rPr>
                <w:rFonts w:ascii="Calibri" w:hAnsi="Calibri"/>
                <w:bCs/>
                <w:szCs w:val="22"/>
              </w:rPr>
              <w:t>commenced</w:t>
            </w:r>
            <w:r w:rsidRPr="00891CEE">
              <w:rPr>
                <w:rFonts w:ascii="Calibri" w:hAnsi="Calibri"/>
                <w:bCs/>
                <w:szCs w:val="22"/>
              </w:rPr>
              <w:t xml:space="preserve"> in accordance with sec.56 (2) of the Town and Country Planning Act</w:t>
            </w:r>
            <w:r w:rsidR="004C334C" w:rsidRPr="00891CEE">
              <w:rPr>
                <w:rFonts w:ascii="Calibri" w:hAnsi="Calibri"/>
                <w:bCs/>
                <w:szCs w:val="22"/>
              </w:rPr>
              <w:t xml:space="preserve"> within the requisite time period.</w:t>
            </w:r>
          </w:p>
          <w:p w14:paraId="3A4BD7A7" w14:textId="1DDE0EFB" w:rsidR="00BE6B34" w:rsidRDefault="00BE6B34" w:rsidP="00BE6B34">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15DDD5C" w:rsidR="00773A66" w:rsidRPr="00D2449B" w:rsidRDefault="004A53D0" w:rsidP="00CD2CEF">
            <w:pPr>
              <w:rPr>
                <w:rFonts w:ascii="Calibri" w:hAnsi="Calibri"/>
                <w:bCs/>
                <w:szCs w:val="22"/>
              </w:rPr>
            </w:pPr>
            <w:r w:rsidRPr="004A53D0">
              <w:rPr>
                <w:rFonts w:asciiTheme="minorHAnsi" w:hAnsiTheme="minorHAnsi"/>
                <w:bCs/>
                <w:szCs w:val="22"/>
              </w:rPr>
              <w:t xml:space="preserve">That consent for a Certificate of Lawfulness be </w:t>
            </w:r>
            <w:r>
              <w:rPr>
                <w:rFonts w:asciiTheme="minorHAnsi" w:hAnsiTheme="minorHAnsi"/>
                <w:bCs/>
                <w:szCs w:val="22"/>
              </w:rPr>
              <w:t>granted on the following grounds:</w:t>
            </w:r>
          </w:p>
        </w:tc>
      </w:tr>
      <w:tr w:rsidR="004A53D0" w:rsidRPr="00D2449B" w14:paraId="0A9FAE8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77925F" w14:textId="77777777" w:rsidR="00C07428" w:rsidRDefault="00C07428" w:rsidP="00E91F51">
            <w:pPr>
              <w:jc w:val="both"/>
              <w:rPr>
                <w:rFonts w:asciiTheme="minorHAnsi" w:hAnsiTheme="minorHAnsi"/>
                <w:bCs/>
                <w:color w:val="FF0000"/>
                <w:szCs w:val="22"/>
              </w:rPr>
            </w:pPr>
          </w:p>
          <w:p w14:paraId="5BACD725" w14:textId="662035AA" w:rsidR="00C07428" w:rsidRPr="00984DA3" w:rsidRDefault="00E91F51" w:rsidP="00E91F51">
            <w:pPr>
              <w:jc w:val="both"/>
              <w:rPr>
                <w:rFonts w:asciiTheme="minorHAnsi" w:hAnsiTheme="minorHAnsi"/>
                <w:bCs/>
                <w:szCs w:val="22"/>
              </w:rPr>
            </w:pPr>
            <w:r w:rsidRPr="00984DA3">
              <w:rPr>
                <w:rFonts w:asciiTheme="minorHAnsi" w:hAnsiTheme="minorHAnsi"/>
                <w:bCs/>
                <w:szCs w:val="22"/>
              </w:rPr>
              <w:t xml:space="preserve">On the basis of the evidence provided it is considered that the </w:t>
            </w:r>
            <w:r w:rsidR="00984DA3" w:rsidRPr="00984DA3">
              <w:rPr>
                <w:rFonts w:asciiTheme="minorHAnsi" w:hAnsiTheme="minorHAnsi"/>
                <w:bCs/>
                <w:szCs w:val="22"/>
              </w:rPr>
              <w:t xml:space="preserve">material </w:t>
            </w:r>
            <w:r w:rsidR="00C07428" w:rsidRPr="00984DA3">
              <w:rPr>
                <w:rFonts w:asciiTheme="minorHAnsi" w:hAnsiTheme="minorHAnsi"/>
                <w:bCs/>
                <w:szCs w:val="22"/>
              </w:rPr>
              <w:t>operation</w:t>
            </w:r>
            <w:r w:rsidR="00911247" w:rsidRPr="00984DA3">
              <w:rPr>
                <w:rFonts w:asciiTheme="minorHAnsi" w:hAnsiTheme="minorHAnsi"/>
                <w:bCs/>
                <w:szCs w:val="22"/>
              </w:rPr>
              <w:t>al works</w:t>
            </w:r>
            <w:r w:rsidR="00C07428" w:rsidRPr="00984DA3">
              <w:rPr>
                <w:rFonts w:asciiTheme="minorHAnsi" w:hAnsiTheme="minorHAnsi"/>
                <w:bCs/>
                <w:szCs w:val="22"/>
              </w:rPr>
              <w:t xml:space="preserve"> subject to this application (</w:t>
            </w:r>
            <w:r w:rsidR="0043614D" w:rsidRPr="00984DA3">
              <w:rPr>
                <w:rFonts w:asciiTheme="minorHAnsi" w:hAnsiTheme="minorHAnsi"/>
                <w:bCs/>
                <w:szCs w:val="22"/>
              </w:rPr>
              <w:t>demolition of garage</w:t>
            </w:r>
            <w:r w:rsidR="00C07428" w:rsidRPr="00984DA3">
              <w:rPr>
                <w:rFonts w:asciiTheme="minorHAnsi" w:hAnsiTheme="minorHAnsi"/>
                <w:bCs/>
                <w:szCs w:val="22"/>
              </w:rPr>
              <w:t xml:space="preserve">) </w:t>
            </w:r>
            <w:r w:rsidR="00911247" w:rsidRPr="00984DA3">
              <w:rPr>
                <w:rFonts w:asciiTheme="minorHAnsi" w:hAnsiTheme="minorHAnsi"/>
                <w:bCs/>
                <w:szCs w:val="22"/>
              </w:rPr>
              <w:t xml:space="preserve">constitutes a material operation as listed at </w:t>
            </w:r>
            <w:r w:rsidR="00984DA3">
              <w:rPr>
                <w:rFonts w:asciiTheme="minorHAnsi" w:hAnsiTheme="minorHAnsi"/>
                <w:bCs/>
                <w:szCs w:val="22"/>
              </w:rPr>
              <w:t>S</w:t>
            </w:r>
            <w:r w:rsidR="00911247" w:rsidRPr="00984DA3">
              <w:rPr>
                <w:rFonts w:asciiTheme="minorHAnsi" w:hAnsiTheme="minorHAnsi"/>
                <w:bCs/>
                <w:szCs w:val="22"/>
              </w:rPr>
              <w:t xml:space="preserve">ec.56 </w:t>
            </w:r>
            <w:r w:rsidR="00A959FF" w:rsidRPr="00A959FF">
              <w:rPr>
                <w:rFonts w:asciiTheme="minorHAnsi" w:hAnsiTheme="minorHAnsi"/>
                <w:bCs/>
                <w:szCs w:val="22"/>
              </w:rPr>
              <w:t xml:space="preserve">(4)(aa) </w:t>
            </w:r>
            <w:r w:rsidR="00911247" w:rsidRPr="00984DA3">
              <w:rPr>
                <w:rFonts w:asciiTheme="minorHAnsi" w:hAnsiTheme="minorHAnsi"/>
                <w:bCs/>
                <w:szCs w:val="22"/>
              </w:rPr>
              <w:t xml:space="preserve">and the development has been lawfully implemented in accordance with </w:t>
            </w:r>
            <w:r w:rsidR="00984DA3">
              <w:rPr>
                <w:rFonts w:asciiTheme="minorHAnsi" w:hAnsiTheme="minorHAnsi"/>
                <w:bCs/>
                <w:szCs w:val="22"/>
              </w:rPr>
              <w:t>S</w:t>
            </w:r>
            <w:r w:rsidR="00911247" w:rsidRPr="00984DA3">
              <w:rPr>
                <w:rFonts w:asciiTheme="minorHAnsi" w:hAnsiTheme="minorHAnsi"/>
                <w:bCs/>
                <w:szCs w:val="22"/>
              </w:rPr>
              <w:t>ec.56 (2) of the Town and Country Planning Act</w:t>
            </w:r>
            <w:r w:rsidR="004C334C" w:rsidRPr="00984DA3">
              <w:rPr>
                <w:rFonts w:asciiTheme="minorHAnsi" w:hAnsiTheme="minorHAnsi"/>
                <w:bCs/>
                <w:szCs w:val="22"/>
              </w:rPr>
              <w:t xml:space="preserve">, </w:t>
            </w:r>
            <w:r w:rsidR="004C334C" w:rsidRPr="00984DA3">
              <w:rPr>
                <w:rFonts w:ascii="Calibri" w:hAnsi="Calibri"/>
                <w:bCs/>
                <w:szCs w:val="22"/>
              </w:rPr>
              <w:t>within the requisite time period</w:t>
            </w:r>
            <w:r w:rsidR="00F1374F">
              <w:rPr>
                <w:rFonts w:ascii="Calibri" w:hAnsi="Calibri"/>
                <w:bCs/>
                <w:szCs w:val="22"/>
              </w:rPr>
              <w:t>(s)</w:t>
            </w:r>
            <w:r w:rsidR="004C334C" w:rsidRPr="00984DA3">
              <w:rPr>
                <w:rFonts w:ascii="Calibri" w:hAnsi="Calibri"/>
                <w:bCs/>
                <w:szCs w:val="22"/>
              </w:rPr>
              <w:t xml:space="preserve"> as imposed pursuant to planning consent</w:t>
            </w:r>
            <w:r w:rsidR="00984DA3">
              <w:rPr>
                <w:rFonts w:ascii="Calibri" w:hAnsi="Calibri"/>
                <w:bCs/>
                <w:szCs w:val="22"/>
              </w:rPr>
              <w:t>(s)</w:t>
            </w:r>
            <w:r w:rsidR="004C334C" w:rsidRPr="00984DA3">
              <w:rPr>
                <w:rFonts w:ascii="Calibri" w:hAnsi="Calibri"/>
                <w:bCs/>
                <w:szCs w:val="22"/>
              </w:rPr>
              <w:t xml:space="preserve"> </w:t>
            </w:r>
            <w:r w:rsidR="002324B1" w:rsidRPr="002324B1">
              <w:rPr>
                <w:rFonts w:ascii="Calibri" w:hAnsi="Calibri"/>
                <w:bCs/>
                <w:szCs w:val="22"/>
              </w:rPr>
              <w:t xml:space="preserve">3/2016/1082 </w:t>
            </w:r>
            <w:r w:rsidR="002324B1">
              <w:rPr>
                <w:rFonts w:ascii="Calibri" w:hAnsi="Calibri"/>
                <w:bCs/>
                <w:szCs w:val="22"/>
              </w:rPr>
              <w:t xml:space="preserve">, </w:t>
            </w:r>
            <w:r w:rsidR="004C334C" w:rsidRPr="00984DA3">
              <w:rPr>
                <w:rFonts w:ascii="Calibri" w:hAnsi="Calibri"/>
                <w:bCs/>
                <w:szCs w:val="22"/>
              </w:rPr>
              <w:t>3/202</w:t>
            </w:r>
            <w:r w:rsidR="00984DA3">
              <w:rPr>
                <w:rFonts w:ascii="Calibri" w:hAnsi="Calibri"/>
                <w:bCs/>
                <w:szCs w:val="22"/>
              </w:rPr>
              <w:t>3</w:t>
            </w:r>
            <w:r w:rsidR="004C334C" w:rsidRPr="00984DA3">
              <w:rPr>
                <w:rFonts w:ascii="Calibri" w:hAnsi="Calibri"/>
                <w:bCs/>
                <w:szCs w:val="22"/>
              </w:rPr>
              <w:t>/</w:t>
            </w:r>
            <w:r w:rsidR="00984DA3">
              <w:rPr>
                <w:rFonts w:ascii="Calibri" w:hAnsi="Calibri"/>
                <w:bCs/>
                <w:szCs w:val="22"/>
              </w:rPr>
              <w:t>0584 and 3/2023/0585</w:t>
            </w:r>
            <w:r w:rsidR="004C334C" w:rsidRPr="00984DA3">
              <w:rPr>
                <w:rFonts w:ascii="Calibri" w:hAnsi="Calibri"/>
                <w:bCs/>
                <w:szCs w:val="22"/>
              </w:rPr>
              <w:t>.</w:t>
            </w:r>
          </w:p>
          <w:p w14:paraId="33096620" w14:textId="02F19077" w:rsidR="00E91F51" w:rsidRPr="004A53D0" w:rsidRDefault="00E91F51" w:rsidP="00C07428">
            <w:pPr>
              <w:tabs>
                <w:tab w:val="left" w:pos="1965"/>
              </w:tabs>
              <w:jc w:val="both"/>
              <w:rPr>
                <w:rFonts w:asciiTheme="minorHAnsi" w:hAnsiTheme="minorHAnsi"/>
                <w:bCs/>
                <w:szCs w:val="22"/>
              </w:rPr>
            </w:pPr>
          </w:p>
        </w:tc>
      </w:tr>
    </w:tbl>
    <w:p w14:paraId="513FB541" w14:textId="77777777" w:rsidR="008B70CD" w:rsidRPr="00D2449B" w:rsidRDefault="008B70CD">
      <w:pPr>
        <w:rPr>
          <w:rFonts w:ascii="Calibri" w:hAnsi="Calibri"/>
          <w:szCs w:val="22"/>
        </w:rPr>
      </w:pPr>
    </w:p>
    <w:sectPr w:rsidR="008B70C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E3910"/>
    <w:multiLevelType w:val="hybridMultilevel"/>
    <w:tmpl w:val="BB02D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187EAA"/>
    <w:multiLevelType w:val="hybridMultilevel"/>
    <w:tmpl w:val="8FD69A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393504"/>
    <w:multiLevelType w:val="hybridMultilevel"/>
    <w:tmpl w:val="29028A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5132DDD"/>
    <w:multiLevelType w:val="hybridMultilevel"/>
    <w:tmpl w:val="722C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84B0BBF"/>
    <w:multiLevelType w:val="hybridMultilevel"/>
    <w:tmpl w:val="A628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7B7451"/>
    <w:multiLevelType w:val="hybridMultilevel"/>
    <w:tmpl w:val="2D242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8"/>
  </w:num>
  <w:num w:numId="2" w16cid:durableId="566574149">
    <w:abstractNumId w:val="6"/>
  </w:num>
  <w:num w:numId="3" w16cid:durableId="45877381">
    <w:abstractNumId w:val="4"/>
  </w:num>
  <w:num w:numId="4" w16cid:durableId="294869901">
    <w:abstractNumId w:val="5"/>
  </w:num>
  <w:num w:numId="5" w16cid:durableId="1291401444">
    <w:abstractNumId w:val="3"/>
  </w:num>
  <w:num w:numId="6" w16cid:durableId="1621718718">
    <w:abstractNumId w:val="1"/>
  </w:num>
  <w:num w:numId="7" w16cid:durableId="2128741638">
    <w:abstractNumId w:val="7"/>
  </w:num>
  <w:num w:numId="8" w16cid:durableId="308050326">
    <w:abstractNumId w:val="2"/>
  </w:num>
  <w:num w:numId="9" w16cid:durableId="3272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729D"/>
    <w:rsid w:val="000B5CB5"/>
    <w:rsid w:val="000E3610"/>
    <w:rsid w:val="00130035"/>
    <w:rsid w:val="001D4F7A"/>
    <w:rsid w:val="002324B1"/>
    <w:rsid w:val="00250879"/>
    <w:rsid w:val="00272003"/>
    <w:rsid w:val="00282E3A"/>
    <w:rsid w:val="0029334A"/>
    <w:rsid w:val="002954E5"/>
    <w:rsid w:val="002A01CF"/>
    <w:rsid w:val="002C6277"/>
    <w:rsid w:val="002F2580"/>
    <w:rsid w:val="00321B6E"/>
    <w:rsid w:val="00323452"/>
    <w:rsid w:val="0037733B"/>
    <w:rsid w:val="00391B20"/>
    <w:rsid w:val="0043614D"/>
    <w:rsid w:val="00440CB6"/>
    <w:rsid w:val="00453DC7"/>
    <w:rsid w:val="0046548C"/>
    <w:rsid w:val="004947BB"/>
    <w:rsid w:val="00497407"/>
    <w:rsid w:val="004A53D0"/>
    <w:rsid w:val="004A5EA9"/>
    <w:rsid w:val="004C2434"/>
    <w:rsid w:val="004C334C"/>
    <w:rsid w:val="004D1C8E"/>
    <w:rsid w:val="004E7DBD"/>
    <w:rsid w:val="004F0649"/>
    <w:rsid w:val="00502BAC"/>
    <w:rsid w:val="00510FA2"/>
    <w:rsid w:val="00545192"/>
    <w:rsid w:val="00556ECD"/>
    <w:rsid w:val="005E1C6C"/>
    <w:rsid w:val="005E65DF"/>
    <w:rsid w:val="00692B60"/>
    <w:rsid w:val="006A71AD"/>
    <w:rsid w:val="006C2BFA"/>
    <w:rsid w:val="006F6849"/>
    <w:rsid w:val="0070054B"/>
    <w:rsid w:val="00741839"/>
    <w:rsid w:val="00761D2C"/>
    <w:rsid w:val="00773A66"/>
    <w:rsid w:val="00776AE2"/>
    <w:rsid w:val="007C791C"/>
    <w:rsid w:val="007D7DF4"/>
    <w:rsid w:val="007D7F4B"/>
    <w:rsid w:val="007E0D23"/>
    <w:rsid w:val="007F16D6"/>
    <w:rsid w:val="00811771"/>
    <w:rsid w:val="00824DB6"/>
    <w:rsid w:val="008274AB"/>
    <w:rsid w:val="00837F4F"/>
    <w:rsid w:val="008542DE"/>
    <w:rsid w:val="00872CE1"/>
    <w:rsid w:val="00891CEE"/>
    <w:rsid w:val="008A28C8"/>
    <w:rsid w:val="008B70CD"/>
    <w:rsid w:val="00911247"/>
    <w:rsid w:val="0094039A"/>
    <w:rsid w:val="00984DA3"/>
    <w:rsid w:val="009F4443"/>
    <w:rsid w:val="00A42E82"/>
    <w:rsid w:val="00A579BB"/>
    <w:rsid w:val="00A63D55"/>
    <w:rsid w:val="00A8689E"/>
    <w:rsid w:val="00A901D8"/>
    <w:rsid w:val="00A959FF"/>
    <w:rsid w:val="00A95D89"/>
    <w:rsid w:val="00AE67BF"/>
    <w:rsid w:val="00B23252"/>
    <w:rsid w:val="00B93EB5"/>
    <w:rsid w:val="00BD3F03"/>
    <w:rsid w:val="00BE6B34"/>
    <w:rsid w:val="00C0704D"/>
    <w:rsid w:val="00C07428"/>
    <w:rsid w:val="00C25722"/>
    <w:rsid w:val="00C40D43"/>
    <w:rsid w:val="00C618DB"/>
    <w:rsid w:val="00CD3B5F"/>
    <w:rsid w:val="00CD76FC"/>
    <w:rsid w:val="00D11007"/>
    <w:rsid w:val="00D17EB1"/>
    <w:rsid w:val="00D2449B"/>
    <w:rsid w:val="00D425E8"/>
    <w:rsid w:val="00D54E67"/>
    <w:rsid w:val="00DC3E1E"/>
    <w:rsid w:val="00DD62F6"/>
    <w:rsid w:val="00E16587"/>
    <w:rsid w:val="00E46243"/>
    <w:rsid w:val="00E66534"/>
    <w:rsid w:val="00E72F6C"/>
    <w:rsid w:val="00E91F51"/>
    <w:rsid w:val="00EA09F9"/>
    <w:rsid w:val="00EC23C7"/>
    <w:rsid w:val="00ED00B7"/>
    <w:rsid w:val="00EF44E6"/>
    <w:rsid w:val="00F056A7"/>
    <w:rsid w:val="00F1374F"/>
    <w:rsid w:val="00F178B2"/>
    <w:rsid w:val="00F72725"/>
    <w:rsid w:val="00F72E31"/>
    <w:rsid w:val="00F92C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link w:val="Heading4Char"/>
    <w:uiPriority w:val="9"/>
    <w:qFormat/>
    <w:rsid w:val="00323452"/>
    <w:pPr>
      <w:overflowPunct/>
      <w:autoSpaceDE/>
      <w:autoSpaceDN/>
      <w:adjustRightInd/>
      <w:spacing w:before="100" w:beforeAutospacing="1" w:after="100" w:afterAutospacing="1"/>
      <w:textAlignment w:val="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rsid w:val="00323452"/>
    <w:rPr>
      <w:rFonts w:ascii="Times New Roman" w:eastAsia="Times New Roman" w:hAnsi="Times New Roman" w:cs="Times New Roman"/>
      <w:b/>
      <w:bCs/>
      <w:sz w:val="24"/>
      <w:szCs w:val="24"/>
      <w:lang w:eastAsia="en-GB"/>
    </w:rPr>
  </w:style>
  <w:style w:type="character" w:customStyle="1" w:styleId="legds">
    <w:name w:val="legds"/>
    <w:basedOn w:val="DefaultParagraphFont"/>
    <w:rsid w:val="00323452"/>
  </w:style>
  <w:style w:type="paragraph" w:customStyle="1" w:styleId="legclearfix">
    <w:name w:val="legclearfix"/>
    <w:basedOn w:val="Normal"/>
    <w:rsid w:val="00323452"/>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legchangedelimiter">
    <w:name w:val="legchangedelimiter"/>
    <w:basedOn w:val="DefaultParagraphFont"/>
    <w:rsid w:val="00323452"/>
  </w:style>
  <w:style w:type="character" w:styleId="Hyperlink">
    <w:name w:val="Hyperlink"/>
    <w:basedOn w:val="DefaultParagraphFont"/>
    <w:uiPriority w:val="99"/>
    <w:semiHidden/>
    <w:unhideWhenUsed/>
    <w:rsid w:val="00323452"/>
    <w:rPr>
      <w:color w:val="0000FF"/>
      <w:u w:val="single"/>
    </w:rPr>
  </w:style>
  <w:style w:type="character" w:customStyle="1" w:styleId="legaddition">
    <w:name w:val="legaddition"/>
    <w:basedOn w:val="DefaultParagraphFont"/>
    <w:rsid w:val="00323452"/>
  </w:style>
  <w:style w:type="character" w:customStyle="1" w:styleId="legsubstitution">
    <w:name w:val="legsubstitution"/>
    <w:basedOn w:val="DefaultParagraphFont"/>
    <w:rsid w:val="00323452"/>
  </w:style>
  <w:style w:type="character" w:customStyle="1" w:styleId="legterm">
    <w:name w:val="legterm"/>
    <w:basedOn w:val="DefaultParagraphFont"/>
    <w:rsid w:val="00323452"/>
  </w:style>
  <w:style w:type="paragraph" w:customStyle="1" w:styleId="legclearfix2">
    <w:name w:val="legclearfix2"/>
    <w:basedOn w:val="Normal"/>
    <w:rsid w:val="00BE6B34"/>
    <w:pPr>
      <w:shd w:val="clear" w:color="auto" w:fill="FFFFFF"/>
      <w:overflowPunct/>
      <w:autoSpaceDE/>
      <w:autoSpaceDN/>
      <w:adjustRightInd/>
      <w:spacing w:after="120" w:line="360" w:lineRule="atLeast"/>
      <w:textAlignment w:val="auto"/>
    </w:pPr>
    <w:rPr>
      <w:rFonts w:ascii="Times New Roman" w:hAnsi="Times New Roman"/>
      <w:color w:val="000000"/>
      <w:sz w:val="19"/>
      <w:szCs w:val="19"/>
      <w:lang w:eastAsia="en-GB"/>
    </w:rPr>
  </w:style>
  <w:style w:type="character" w:customStyle="1" w:styleId="legds2">
    <w:name w:val="legds2"/>
    <w:basedOn w:val="DefaultParagraphFont"/>
    <w:rsid w:val="00BE6B34"/>
    <w:rPr>
      <w:vanish w:val="0"/>
      <w:webHidden w:val="0"/>
      <w:specVanish w:val="0"/>
    </w:rPr>
  </w:style>
  <w:style w:type="character" w:customStyle="1" w:styleId="legchangedelimiter2">
    <w:name w:val="legchangedelimiter2"/>
    <w:basedOn w:val="DefaultParagraphFont"/>
    <w:rsid w:val="00BE6B34"/>
    <w:rPr>
      <w:b/>
      <w:bCs/>
      <w:i w:val="0"/>
      <w:iCs w:val="0"/>
      <w:color w:val="000000"/>
      <w:sz w:val="34"/>
      <w:szCs w:val="34"/>
    </w:rPr>
  </w:style>
  <w:style w:type="character" w:customStyle="1" w:styleId="legaddition5">
    <w:name w:val="legaddition5"/>
    <w:basedOn w:val="DefaultParagraphFont"/>
    <w:rsid w:val="00BE6B34"/>
  </w:style>
  <w:style w:type="paragraph" w:customStyle="1" w:styleId="TableText">
    <w:name w:val="Table Text"/>
    <w:basedOn w:val="Normal"/>
    <w:rsid w:val="007D7F4B"/>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543458">
      <w:bodyDiv w:val="1"/>
      <w:marLeft w:val="0"/>
      <w:marRight w:val="0"/>
      <w:marTop w:val="0"/>
      <w:marBottom w:val="0"/>
      <w:divBdr>
        <w:top w:val="none" w:sz="0" w:space="0" w:color="auto"/>
        <w:left w:val="none" w:sz="0" w:space="0" w:color="auto"/>
        <w:bottom w:val="none" w:sz="0" w:space="0" w:color="auto"/>
        <w:right w:val="none" w:sz="0" w:space="0" w:color="auto"/>
      </w:divBdr>
    </w:div>
    <w:div w:id="160931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2024-05-23T13:25:00Z</cp:lastPrinted>
  <dcterms:created xsi:type="dcterms:W3CDTF">2024-05-23T13:28:00Z</dcterms:created>
  <dcterms:modified xsi:type="dcterms:W3CDTF">2024-05-23T13:28:00Z</dcterms:modified>
</cp:coreProperties>
</file>