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696"/>
        <w:gridCol w:w="602"/>
        <w:gridCol w:w="699"/>
        <w:gridCol w:w="579"/>
        <w:gridCol w:w="1030"/>
        <w:gridCol w:w="1030"/>
        <w:gridCol w:w="1031"/>
      </w:tblGrid>
      <w:tr w:rsidR="004A5EA9" w:rsidRPr="00D2449B" w14:paraId="230E00AF"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A51AA2">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397776C" w:rsidR="00837F4F" w:rsidRPr="00D2449B" w:rsidRDefault="008D31AF"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B375311" w:rsidR="00837F4F" w:rsidRPr="00D2449B" w:rsidRDefault="008D31AF" w:rsidP="00D2449B">
            <w:pPr>
              <w:jc w:val="center"/>
              <w:rPr>
                <w:rFonts w:ascii="Calibri" w:hAnsi="Calibri"/>
                <w:b/>
                <w:szCs w:val="22"/>
              </w:rPr>
            </w:pPr>
            <w:r>
              <w:rPr>
                <w:rFonts w:ascii="Calibri" w:hAnsi="Calibri"/>
                <w:b/>
                <w:szCs w:val="22"/>
              </w:rPr>
              <w:t>31/0</w:t>
            </w:r>
            <w:r w:rsidR="008D46B0">
              <w:rPr>
                <w:rFonts w:ascii="Calibri" w:hAnsi="Calibri"/>
                <w:b/>
                <w:szCs w:val="22"/>
              </w:rPr>
              <w:t>7</w:t>
            </w:r>
            <w:r>
              <w:rPr>
                <w:rFonts w:ascii="Calibri" w:hAnsi="Calibri"/>
                <w:b/>
                <w:szCs w:val="22"/>
              </w:rPr>
              <w:t>/2024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8DE2065" w:rsidR="00837F4F" w:rsidRPr="00D2449B" w:rsidRDefault="008D46B0"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8FA5E22" w:rsidR="00837F4F" w:rsidRPr="00D2449B" w:rsidRDefault="008D46B0" w:rsidP="00D2449B">
            <w:pPr>
              <w:jc w:val="center"/>
              <w:rPr>
                <w:rFonts w:ascii="Calibri" w:hAnsi="Calibri"/>
                <w:b/>
                <w:szCs w:val="22"/>
              </w:rPr>
            </w:pPr>
            <w:r>
              <w:rPr>
                <w:rFonts w:ascii="Calibri" w:hAnsi="Calibri"/>
                <w:b/>
                <w:szCs w:val="22"/>
              </w:rPr>
              <w:t>5.08.24</w:t>
            </w:r>
          </w:p>
        </w:tc>
      </w:tr>
      <w:tr w:rsidR="004A5EA9" w:rsidRPr="00D2449B" w14:paraId="2094A164" w14:textId="77777777" w:rsidTr="00A51AA2">
        <w:trPr>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51A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56E3A31" w:rsidR="004A5EA9" w:rsidRPr="005F1A36" w:rsidRDefault="00B5479B" w:rsidP="008542DE">
            <w:pPr>
              <w:rPr>
                <w:rFonts w:ascii="Calibri" w:hAnsi="Calibri"/>
                <w:szCs w:val="22"/>
              </w:rPr>
            </w:pPr>
            <w:r w:rsidRPr="005F1A36">
              <w:rPr>
                <w:rFonts w:ascii="Calibri" w:hAnsi="Calibri"/>
                <w:szCs w:val="22"/>
              </w:rPr>
              <w:t>2024/</w:t>
            </w:r>
            <w:r w:rsidR="008D31AF">
              <w:rPr>
                <w:rFonts w:ascii="Calibri" w:hAnsi="Calibri"/>
                <w:szCs w:val="22"/>
              </w:rPr>
              <w:t>0436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A51A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D5601CF" w:rsidR="00824DB6" w:rsidRPr="00C0704D" w:rsidRDefault="008D31AF" w:rsidP="002C6277">
            <w:pPr>
              <w:rPr>
                <w:rFonts w:ascii="Calibri" w:hAnsi="Calibri"/>
                <w:szCs w:val="22"/>
              </w:rPr>
            </w:pPr>
            <w:r>
              <w:rPr>
                <w:rFonts w:ascii="Calibri" w:hAnsi="Calibri"/>
                <w:szCs w:val="22"/>
              </w:rPr>
              <w:t>27/06/2024</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50AC532" w:rsidR="00824DB6" w:rsidRPr="00C0704D" w:rsidRDefault="008D31AF" w:rsidP="002C6277">
            <w:pPr>
              <w:rPr>
                <w:rFonts w:ascii="Calibri" w:hAnsi="Calibri"/>
                <w:szCs w:val="22"/>
              </w:rPr>
            </w:pPr>
            <w:r>
              <w:rPr>
                <w:rFonts w:ascii="Calibri" w:hAnsi="Calibri"/>
                <w:szCs w:val="22"/>
              </w:rPr>
              <w:t>27/06/2024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A51A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8D46B0" w:rsidRDefault="00D2449B">
            <w:pPr>
              <w:rPr>
                <w:rFonts w:ascii="Calibri" w:hAnsi="Calibri"/>
                <w:b/>
                <w:szCs w:val="22"/>
              </w:rPr>
            </w:pPr>
            <w:r w:rsidRPr="008D46B0">
              <w:rPr>
                <w:rFonts w:ascii="Calibri" w:hAnsi="Calibri"/>
                <w:b/>
                <w:szCs w:val="22"/>
              </w:rPr>
              <w:t>Officer</w:t>
            </w:r>
            <w:r w:rsidR="004A5EA9" w:rsidRPr="008D46B0">
              <w:rPr>
                <w:rFonts w:ascii="Calibri" w:hAnsi="Calibri"/>
                <w:b/>
                <w:szCs w:val="22"/>
              </w:rPr>
              <w:t>:</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658EBB8" w:rsidR="004A5EA9" w:rsidRPr="008D46B0" w:rsidRDefault="008D31AF" w:rsidP="00811771">
            <w:pPr>
              <w:rPr>
                <w:rFonts w:ascii="Calibri" w:hAnsi="Calibri"/>
                <w:szCs w:val="22"/>
              </w:rPr>
            </w:pPr>
            <w:r w:rsidRPr="008D46B0">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51AA2">
        <w:trPr>
          <w:jc w:val="center"/>
        </w:trPr>
        <w:tc>
          <w:tcPr>
            <w:tcW w:w="628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A51AA2">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4F3B3E9" w:rsidR="004A5EA9" w:rsidRPr="002C6277" w:rsidRDefault="00C228D1">
            <w:pPr>
              <w:rPr>
                <w:rFonts w:ascii="Calibri" w:hAnsi="Calibri"/>
                <w:szCs w:val="22"/>
              </w:rPr>
            </w:pPr>
            <w:r w:rsidRPr="00C228D1">
              <w:rPr>
                <w:rFonts w:ascii="Calibri" w:hAnsi="Calibri"/>
                <w:szCs w:val="22"/>
              </w:rPr>
              <w:t>Proposed demolition of rear porch, removal of windows to rear of garage and utility room, removal of bay window and rear ground-floor wall of house, garden wall and steps. Construction of single-storey extension adjoining the garage, new raised patio and steps to rear garden.</w:t>
            </w:r>
          </w:p>
        </w:tc>
      </w:tr>
      <w:tr w:rsidR="002A01CF" w:rsidRPr="00D2449B" w14:paraId="52988241"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DAE87C3" w:rsidR="002A01CF" w:rsidRPr="002C6277" w:rsidRDefault="00246DF4" w:rsidP="00A42E82">
            <w:pPr>
              <w:rPr>
                <w:rFonts w:ascii="Calibri" w:hAnsi="Calibri"/>
                <w:szCs w:val="22"/>
              </w:rPr>
            </w:pPr>
            <w:r>
              <w:rPr>
                <w:rFonts w:ascii="Calibri" w:hAnsi="Calibri"/>
                <w:szCs w:val="22"/>
              </w:rPr>
              <w:t>15 Crow Trees Brow, Chatburn BB7 4AA.</w:t>
            </w:r>
          </w:p>
        </w:tc>
      </w:tr>
      <w:tr w:rsidR="00A95D89" w:rsidRPr="00D2449B" w14:paraId="3FB99B2E" w14:textId="77777777" w:rsidTr="00A51AA2">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84D41A8" w:rsidR="002A01CF" w:rsidRPr="00295A61" w:rsidRDefault="00A51AA2">
            <w:pPr>
              <w:rPr>
                <w:rFonts w:ascii="Calibri" w:hAnsi="Calibri"/>
                <w:bCs/>
                <w:szCs w:val="22"/>
              </w:rPr>
            </w:pPr>
            <w:r>
              <w:rPr>
                <w:rFonts w:ascii="Calibri" w:hAnsi="Calibri"/>
                <w:bCs/>
                <w:szCs w:val="22"/>
              </w:rPr>
              <w:t xml:space="preserve">No comments received. </w:t>
            </w:r>
          </w:p>
        </w:tc>
      </w:tr>
      <w:tr w:rsidR="00C618DB" w:rsidRPr="00D2449B" w14:paraId="639E958B" w14:textId="77777777" w:rsidTr="00A51AA2">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214554F" w:rsidR="002A01CF" w:rsidRPr="00D2449B" w:rsidRDefault="00A51AA2">
            <w:pPr>
              <w:rPr>
                <w:rFonts w:ascii="Calibri" w:hAnsi="Calibri"/>
                <w:b/>
                <w:szCs w:val="22"/>
              </w:rPr>
            </w:pPr>
            <w:r>
              <w:rPr>
                <w:rFonts w:ascii="Calibri" w:hAnsi="Calibri"/>
                <w:b/>
                <w:szCs w:val="22"/>
              </w:rPr>
              <w:t>N/A</w:t>
            </w:r>
          </w:p>
        </w:tc>
      </w:tr>
      <w:tr w:rsidR="00C0704D" w:rsidRPr="00D2449B" w14:paraId="62663AAF"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51A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162D4B8" w:rsidR="00C0704D" w:rsidRPr="00C0704D" w:rsidRDefault="00A51AA2" w:rsidP="00692B60">
            <w:pPr>
              <w:rPr>
                <w:rFonts w:ascii="Calibri" w:hAnsi="Calibri"/>
                <w:szCs w:val="22"/>
              </w:rPr>
            </w:pPr>
            <w:r>
              <w:rPr>
                <w:rFonts w:ascii="Calibri" w:hAnsi="Calibri"/>
                <w:szCs w:val="22"/>
              </w:rPr>
              <w:t>No comments received.</w:t>
            </w:r>
          </w:p>
        </w:tc>
      </w:tr>
      <w:tr w:rsidR="00C0704D" w:rsidRPr="00D2449B" w14:paraId="1CDFA4C3" w14:textId="77777777" w:rsidTr="00A51AA2">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5A84116B" w14:textId="77777777" w:rsidR="009C1F22" w:rsidRPr="00C618DB" w:rsidRDefault="009C1F22" w:rsidP="009C1F22">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179D176E" w14:textId="77777777" w:rsidR="009C1F22" w:rsidRDefault="009C1F22" w:rsidP="009C1F22">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40AFF3D3" w14:textId="77777777" w:rsidR="009C1F22" w:rsidRPr="00C618DB" w:rsidRDefault="009C1F22" w:rsidP="009C1F22">
            <w:pPr>
              <w:pStyle w:val="PLANNING"/>
              <w:rPr>
                <w:rFonts w:ascii="Calibri" w:hAnsi="Calibri"/>
                <w:szCs w:val="22"/>
              </w:rPr>
            </w:pPr>
          </w:p>
          <w:p w14:paraId="3929B12E" w14:textId="77777777" w:rsidR="009C1F22" w:rsidRPr="00C618DB" w:rsidRDefault="009C1F22" w:rsidP="009C1F22">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0F7F0F26" w14:textId="77777777" w:rsidR="009C1F22" w:rsidRPr="00C618DB" w:rsidRDefault="009C1F22" w:rsidP="009C1F22">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491F55D6" w14:textId="77777777" w:rsidR="009C1F22" w:rsidRDefault="009C1F22" w:rsidP="009C1F22">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6FA886CD" w14:textId="77777777" w:rsidR="009C1F22" w:rsidRPr="00C618DB" w:rsidRDefault="009C1F22" w:rsidP="009C1F22">
            <w:pPr>
              <w:pStyle w:val="PLANNING"/>
              <w:rPr>
                <w:rFonts w:ascii="Calibri" w:hAnsi="Calibri"/>
                <w:szCs w:val="22"/>
              </w:rPr>
            </w:pPr>
          </w:p>
          <w:p w14:paraId="0B67484A" w14:textId="77777777" w:rsidR="009C1F22" w:rsidRDefault="009C1F22" w:rsidP="009C1F22">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1858C02" w14:textId="77777777" w:rsidR="00610DE6" w:rsidRPr="007D0CEC" w:rsidRDefault="00610DE6" w:rsidP="00C0704D">
            <w:pPr>
              <w:pStyle w:val="PLANNING"/>
              <w:rPr>
                <w:rFonts w:ascii="Calibri" w:hAnsi="Calibri"/>
                <w:szCs w:val="22"/>
              </w:rPr>
            </w:pPr>
          </w:p>
          <w:p w14:paraId="653A7359" w14:textId="77777777" w:rsidR="00610DE6" w:rsidRDefault="00A51AA2" w:rsidP="00A51AA2">
            <w:pPr>
              <w:pStyle w:val="PLANNING"/>
              <w:rPr>
                <w:rFonts w:ascii="Calibri" w:hAnsi="Calibri"/>
                <w:szCs w:val="22"/>
              </w:rPr>
            </w:pPr>
            <w:r w:rsidRPr="00A51AA2">
              <w:rPr>
                <w:rFonts w:ascii="Calibri" w:hAnsi="Calibri"/>
                <w:b/>
                <w:bCs/>
                <w:szCs w:val="22"/>
              </w:rPr>
              <w:t xml:space="preserve">3/2000/0354 </w:t>
            </w:r>
            <w:r w:rsidRPr="00A51AA2">
              <w:rPr>
                <w:rFonts w:ascii="Calibri" w:hAnsi="Calibri"/>
                <w:szCs w:val="22"/>
              </w:rPr>
              <w:t xml:space="preserve">– Erection of a garage. (approved with conditions). </w:t>
            </w:r>
          </w:p>
          <w:p w14:paraId="17147D50" w14:textId="4775CF1A" w:rsidR="00A51AA2" w:rsidRPr="00D2449B" w:rsidRDefault="00A51AA2" w:rsidP="00A51AA2">
            <w:pPr>
              <w:pStyle w:val="PLANNING"/>
              <w:rPr>
                <w:rFonts w:ascii="Calibri" w:hAnsi="Calibri"/>
                <w:b/>
                <w:bCs/>
                <w:szCs w:val="22"/>
              </w:rPr>
            </w:pPr>
          </w:p>
        </w:tc>
      </w:tr>
      <w:tr w:rsidR="00C0704D" w:rsidRPr="00D2449B" w14:paraId="6AAC3B0A" w14:textId="77777777" w:rsidTr="00A51AA2">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5986E304" w14:textId="6157B7F8" w:rsidR="00406EBD" w:rsidRDefault="008B3B5E" w:rsidP="009C1F22">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property accessed via Crow trees Brow in Chatburn. The application dwelling is positioned within a large curtilage and the site itself does not fall on any designated land. The surrounding area is predominately residential in nature being typified of varying styles of property. </w:t>
            </w:r>
          </w:p>
          <w:p w14:paraId="62370E9F" w14:textId="4469ECF6" w:rsidR="008B3B5E" w:rsidRPr="006C2BFA" w:rsidRDefault="008B3B5E" w:rsidP="009C1F22">
            <w:pPr>
              <w:pStyle w:val="Header"/>
              <w:tabs>
                <w:tab w:val="clear" w:pos="4153"/>
                <w:tab w:val="clear" w:pos="8306"/>
              </w:tabs>
              <w:contextualSpacing/>
              <w:jc w:val="both"/>
              <w:rPr>
                <w:rFonts w:ascii="Calibri" w:hAnsi="Calibri"/>
                <w:bCs/>
                <w:szCs w:val="22"/>
              </w:rPr>
            </w:pPr>
          </w:p>
        </w:tc>
      </w:tr>
      <w:tr w:rsidR="00C0704D" w:rsidRPr="00D2449B" w14:paraId="408C6380"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636DE67" w14:textId="71C4DA8C" w:rsidR="00C0704D" w:rsidRDefault="008B3B5E" w:rsidP="00406EBD">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single-storey flat roof extension sited to the rear of the application dwelling. The extension will adjoin the existing garage structure and existing bay window and rear porch will be removed to accommodate the development. </w:t>
            </w:r>
          </w:p>
          <w:p w14:paraId="1B20488F" w14:textId="4E0F0DBE" w:rsidR="008B3B5E" w:rsidRPr="00D54E67" w:rsidRDefault="008B3B5E" w:rsidP="00406EBD">
            <w:pPr>
              <w:pStyle w:val="Header"/>
              <w:tabs>
                <w:tab w:val="clear" w:pos="4153"/>
                <w:tab w:val="clear" w:pos="8306"/>
              </w:tabs>
              <w:jc w:val="both"/>
              <w:rPr>
                <w:rFonts w:ascii="Calibri" w:hAnsi="Calibri"/>
                <w:szCs w:val="22"/>
              </w:rPr>
            </w:pPr>
          </w:p>
        </w:tc>
      </w:tr>
      <w:tr w:rsidR="00C0704D" w:rsidRPr="00D2449B" w14:paraId="617768FF"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25912E5" w14:textId="77777777" w:rsidR="00065833" w:rsidRDefault="007D2203" w:rsidP="00406EBD">
            <w:pPr>
              <w:contextualSpacing/>
              <w:rPr>
                <w:rFonts w:ascii="Calibri" w:hAnsi="Calibri"/>
                <w:szCs w:val="22"/>
              </w:rPr>
            </w:pPr>
            <w:r>
              <w:rPr>
                <w:rFonts w:ascii="Calibri" w:hAnsi="Calibri"/>
                <w:szCs w:val="22"/>
              </w:rPr>
              <w:t xml:space="preserve">The application dwelling has two adjoining neighbours, they are known as No.13 and No.17 Crow trees Brow. No.17 Crow Trees Brow is located to the North of the application dwelling, where the existing attached garage at the application site will provide complete screening of the proposed extension. As such, no loss of light or overbearing impact would be inflicted for the receptors of No.17. </w:t>
            </w:r>
          </w:p>
          <w:p w14:paraId="7F4B1970" w14:textId="77777777" w:rsidR="00137FB3" w:rsidRDefault="00137FB3" w:rsidP="00406EBD">
            <w:pPr>
              <w:contextualSpacing/>
              <w:rPr>
                <w:rFonts w:ascii="Calibri" w:hAnsi="Calibri"/>
                <w:szCs w:val="22"/>
              </w:rPr>
            </w:pPr>
          </w:p>
          <w:p w14:paraId="024A359F" w14:textId="55EFD6FC" w:rsidR="00137FB3" w:rsidRDefault="00137FB3" w:rsidP="00406EBD">
            <w:pPr>
              <w:contextualSpacing/>
              <w:rPr>
                <w:rFonts w:ascii="Calibri" w:hAnsi="Calibri"/>
                <w:szCs w:val="22"/>
              </w:rPr>
            </w:pPr>
            <w:r>
              <w:rPr>
                <w:rFonts w:ascii="Calibri" w:hAnsi="Calibri"/>
                <w:szCs w:val="22"/>
              </w:rPr>
              <w:t xml:space="preserve">No.13 is located to the Southern side of the application dwelling where there will be a sufficient separation distance between the neighbouring dwelling and the development to mitigate any potential overbearing impact or loss of light. There is also substantial boundary treatment between the two dwelling which will provide a level of screening. </w:t>
            </w:r>
          </w:p>
          <w:p w14:paraId="0225F0B8" w14:textId="77777777" w:rsidR="00137FB3" w:rsidRDefault="00137FB3" w:rsidP="00406EBD">
            <w:pPr>
              <w:contextualSpacing/>
              <w:rPr>
                <w:rFonts w:ascii="Calibri" w:hAnsi="Calibri"/>
                <w:szCs w:val="22"/>
              </w:rPr>
            </w:pPr>
          </w:p>
          <w:p w14:paraId="472E7943" w14:textId="77777777" w:rsidR="00137FB3" w:rsidRDefault="00137FB3" w:rsidP="00406EBD">
            <w:pPr>
              <w:contextualSpacing/>
              <w:rPr>
                <w:rFonts w:ascii="Calibri" w:hAnsi="Calibri"/>
                <w:szCs w:val="22"/>
              </w:rPr>
            </w:pPr>
            <w:r>
              <w:rPr>
                <w:rFonts w:ascii="Calibri" w:hAnsi="Calibri"/>
                <w:szCs w:val="22"/>
              </w:rPr>
              <w:t xml:space="preserve">As such, no adverse impact on residential amenity is expected resultant of the proposal. </w:t>
            </w:r>
          </w:p>
          <w:p w14:paraId="0DB485A3" w14:textId="2D882DCC" w:rsidR="00137FB3" w:rsidRPr="00C0704D" w:rsidRDefault="00137FB3" w:rsidP="00406EBD">
            <w:pPr>
              <w:contextualSpacing/>
              <w:rPr>
                <w:rFonts w:ascii="Calibri" w:hAnsi="Calibri"/>
                <w:szCs w:val="22"/>
              </w:rPr>
            </w:pPr>
          </w:p>
        </w:tc>
      </w:tr>
      <w:tr w:rsidR="00C0704D" w:rsidRPr="00D2449B" w14:paraId="6754C065"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8E805CD" w14:textId="77777777" w:rsidR="00065833" w:rsidRDefault="003C5B28" w:rsidP="00406EBD">
            <w:pPr>
              <w:contextualSpacing/>
            </w:pPr>
            <w:r>
              <w:t xml:space="preserve"> </w:t>
            </w:r>
          </w:p>
          <w:p w14:paraId="7DFFD538" w14:textId="4D451B58" w:rsidR="00A51AA2" w:rsidRDefault="00A51AA2" w:rsidP="00A51AA2">
            <w:pPr>
              <w:pStyle w:val="Header"/>
              <w:tabs>
                <w:tab w:val="left" w:pos="720"/>
              </w:tabs>
              <w:jc w:val="both"/>
              <w:rPr>
                <w:rFonts w:asciiTheme="minorHAnsi" w:hAnsiTheme="minorHAnsi" w:cstheme="minorHAnsi"/>
              </w:rPr>
            </w:pPr>
            <w:r>
              <w:rPr>
                <w:rFonts w:asciiTheme="minorHAnsi" w:hAnsiTheme="minorHAnsi" w:cstheme="minorHAnsi"/>
              </w:rPr>
              <w:t>Policy DMG1 of the Ribble Valley Core Strategy states that development must</w:t>
            </w:r>
          </w:p>
          <w:p w14:paraId="5AA3B044" w14:textId="77777777" w:rsidR="00A51AA2" w:rsidRDefault="00A51AA2" w:rsidP="00A51AA2">
            <w:pPr>
              <w:pStyle w:val="Header"/>
              <w:tabs>
                <w:tab w:val="left" w:pos="720"/>
              </w:tabs>
              <w:jc w:val="both"/>
              <w:rPr>
                <w:rFonts w:asciiTheme="minorHAnsi" w:hAnsiTheme="minorHAnsi" w:cstheme="minorHAnsi"/>
              </w:rPr>
            </w:pPr>
          </w:p>
          <w:p w14:paraId="54AE0255" w14:textId="77777777" w:rsidR="00A51AA2" w:rsidRPr="00A51AA2" w:rsidRDefault="00A51AA2" w:rsidP="00A51AA2">
            <w:pPr>
              <w:jc w:val="both"/>
              <w:rPr>
                <w:rFonts w:asciiTheme="minorHAnsi" w:hAnsiTheme="minorHAnsi" w:cstheme="minorHAnsi"/>
                <w:i/>
                <w:iCs/>
              </w:rPr>
            </w:pPr>
            <w:r w:rsidRPr="00A51AA2">
              <w:rPr>
                <w:rFonts w:asciiTheme="minorHAnsi" w:hAnsiTheme="minorHAnsi" w:cstheme="minorHAnsi"/>
                <w:i/>
                <w:iCs/>
              </w:rPr>
              <w:t xml:space="preserve">1. Be of a high standard of building design which considers the 8 building in context principles (from the cabe/English heritage building on context toolkit. </w:t>
            </w:r>
          </w:p>
          <w:p w14:paraId="329C6AB8" w14:textId="77777777" w:rsidR="00A51AA2" w:rsidRPr="00A51AA2" w:rsidRDefault="00A51AA2" w:rsidP="00A51AA2">
            <w:pPr>
              <w:jc w:val="both"/>
              <w:rPr>
                <w:rFonts w:asciiTheme="minorHAnsi" w:hAnsiTheme="minorHAnsi" w:cstheme="minorHAnsi"/>
                <w:i/>
                <w:iCs/>
              </w:rPr>
            </w:pPr>
            <w:r w:rsidRPr="00A51AA2">
              <w:rPr>
                <w:rFonts w:asciiTheme="minorHAnsi" w:hAnsiTheme="minorHAnsi" w:cstheme="minorHAnsi"/>
                <w:i/>
                <w:iCs/>
              </w:rPr>
              <w:t xml:space="preserve">2. Be sympathetic to existing and proposed land uses in terms of its size, intensity and nature as well as scale, massing, style, features and building materials. </w:t>
            </w:r>
          </w:p>
          <w:p w14:paraId="35B6E7A4" w14:textId="77777777" w:rsidR="00A51AA2" w:rsidRDefault="00A51AA2" w:rsidP="00A51AA2">
            <w:pPr>
              <w:jc w:val="both"/>
              <w:rPr>
                <w:rFonts w:cstheme="minorHAnsi"/>
                <w:i/>
                <w:iCs/>
              </w:rPr>
            </w:pPr>
            <w:r w:rsidRPr="00A51AA2">
              <w:rPr>
                <w:rFonts w:asciiTheme="minorHAnsi" w:hAnsiTheme="minorHAnsi" w:cstheme="minorHAnsi"/>
                <w:i/>
                <w:iCs/>
              </w:rPr>
              <w:t>3. 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r>
              <w:rPr>
                <w:rFonts w:cstheme="minorHAnsi"/>
                <w:i/>
                <w:iCs/>
              </w:rPr>
              <w:t>.</w:t>
            </w:r>
          </w:p>
          <w:p w14:paraId="3A13D637" w14:textId="77777777" w:rsidR="00A51AA2" w:rsidRDefault="00A51AA2" w:rsidP="00406EBD">
            <w:pPr>
              <w:contextualSpacing/>
              <w:rPr>
                <w:rFonts w:asciiTheme="minorHAnsi" w:hAnsiTheme="minorHAnsi" w:cstheme="minorHAnsi"/>
              </w:rPr>
            </w:pPr>
          </w:p>
          <w:p w14:paraId="78C2B11A" w14:textId="5186C3D6" w:rsidR="009C1F22" w:rsidRPr="007D2203" w:rsidRDefault="008B3B5E" w:rsidP="00406EBD">
            <w:pPr>
              <w:contextualSpacing/>
              <w:rPr>
                <w:rFonts w:asciiTheme="minorHAnsi" w:hAnsiTheme="minorHAnsi" w:cstheme="minorHAnsi"/>
              </w:rPr>
            </w:pPr>
            <w:r w:rsidRPr="007D2203">
              <w:rPr>
                <w:rFonts w:asciiTheme="minorHAnsi" w:hAnsiTheme="minorHAnsi" w:cstheme="minorHAnsi"/>
              </w:rPr>
              <w:t xml:space="preserve">The proposed single-storey extension is located to the rear of the application dwelling and consequently is entirely screened from view within the public realm. Nonetheless, the overall scale of the proposed extension is modest in relation to the application dwelling. The extension will measure </w:t>
            </w:r>
            <w:r w:rsidR="006E503C" w:rsidRPr="007D2203">
              <w:rPr>
                <w:rFonts w:asciiTheme="minorHAnsi" w:hAnsiTheme="minorHAnsi" w:cstheme="minorHAnsi"/>
              </w:rPr>
              <w:t xml:space="preserve">9.6 metres by 3.9 metres and consequently will take a wholly subservient position to the application dwelling. </w:t>
            </w:r>
          </w:p>
          <w:p w14:paraId="0AFCA83B" w14:textId="77777777" w:rsidR="006E503C" w:rsidRPr="007D2203" w:rsidRDefault="006E503C" w:rsidP="00406EBD">
            <w:pPr>
              <w:contextualSpacing/>
              <w:rPr>
                <w:rFonts w:asciiTheme="minorHAnsi" w:hAnsiTheme="minorHAnsi" w:cstheme="minorHAnsi"/>
              </w:rPr>
            </w:pPr>
          </w:p>
          <w:p w14:paraId="712A6116" w14:textId="1B7199B5" w:rsidR="006E503C" w:rsidRPr="007D2203" w:rsidRDefault="006E503C" w:rsidP="00406EBD">
            <w:pPr>
              <w:contextualSpacing/>
              <w:rPr>
                <w:rFonts w:asciiTheme="minorHAnsi" w:hAnsiTheme="minorHAnsi" w:cstheme="minorHAnsi"/>
              </w:rPr>
            </w:pPr>
            <w:r w:rsidRPr="007D2203">
              <w:rPr>
                <w:rFonts w:asciiTheme="minorHAnsi" w:hAnsiTheme="minorHAnsi" w:cstheme="minorHAnsi"/>
              </w:rPr>
              <w:t xml:space="preserve">In respect of materials the proposed </w:t>
            </w:r>
            <w:r w:rsidR="007D2203" w:rsidRPr="007D2203">
              <w:rPr>
                <w:rFonts w:asciiTheme="minorHAnsi" w:hAnsiTheme="minorHAnsi" w:cstheme="minorHAnsi"/>
              </w:rPr>
              <w:t xml:space="preserve">extension will be constructed in red facing brickwork, which </w:t>
            </w:r>
            <w:r w:rsidR="009C461B">
              <w:rPr>
                <w:rFonts w:asciiTheme="minorHAnsi" w:hAnsiTheme="minorHAnsi" w:cstheme="minorHAnsi"/>
              </w:rPr>
              <w:t xml:space="preserve">will </w:t>
            </w:r>
            <w:r w:rsidR="007D2203" w:rsidRPr="007D2203">
              <w:rPr>
                <w:rFonts w:asciiTheme="minorHAnsi" w:hAnsiTheme="minorHAnsi" w:cstheme="minorHAnsi"/>
              </w:rPr>
              <w:t xml:space="preserve">match the existing brick plinth on the application dwelling. The plans also demonstrate that the windows are to be replaced with grey uPVC and the exterior grey pebbledash will be painted white on the host dwelling. These materials are consistent with those found on properties in the vicinity and as such raise no concern in respect of visual amenity. </w:t>
            </w:r>
          </w:p>
          <w:p w14:paraId="10A3648A" w14:textId="33202011" w:rsidR="007D2203" w:rsidRPr="00065833" w:rsidRDefault="007D2203" w:rsidP="00406EBD">
            <w:pPr>
              <w:contextualSpacing/>
            </w:pPr>
          </w:p>
        </w:tc>
      </w:tr>
      <w:tr w:rsidR="00824DB6" w:rsidRPr="00D2449B" w14:paraId="673C0DDB"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41C26713" w14:textId="080A844F" w:rsidR="00A74F22" w:rsidRPr="00137FB3" w:rsidRDefault="00137FB3" w:rsidP="009C1F22">
            <w:pPr>
              <w:pStyle w:val="Header"/>
              <w:tabs>
                <w:tab w:val="clear" w:pos="4153"/>
                <w:tab w:val="clear" w:pos="8306"/>
              </w:tabs>
              <w:contextualSpacing/>
              <w:jc w:val="both"/>
              <w:rPr>
                <w:rFonts w:ascii="Calibri" w:hAnsi="Calibri"/>
                <w:bCs/>
                <w:szCs w:val="22"/>
              </w:rPr>
            </w:pPr>
            <w:r w:rsidRPr="00137FB3">
              <w:rPr>
                <w:rFonts w:ascii="Calibri" w:hAnsi="Calibri"/>
                <w:bCs/>
                <w:szCs w:val="22"/>
              </w:rPr>
              <w:t xml:space="preserve">No highway safety implications identified in relation to the proposal. </w:t>
            </w:r>
          </w:p>
          <w:p w14:paraId="337694ED" w14:textId="3A6C2774" w:rsidR="00137FB3" w:rsidRDefault="00137FB3"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797C4AF9" w14:textId="25F4B5F9" w:rsidR="00AF2180" w:rsidRPr="00137FB3" w:rsidRDefault="00137FB3" w:rsidP="00406EBD">
            <w:pPr>
              <w:contextualSpacing/>
              <w:rPr>
                <w:rFonts w:ascii="Calibri" w:hAnsi="Calibri"/>
                <w:bCs/>
                <w:szCs w:val="22"/>
              </w:rPr>
            </w:pPr>
            <w:r w:rsidRPr="00137FB3">
              <w:rPr>
                <w:rFonts w:ascii="Calibri" w:hAnsi="Calibri"/>
                <w:bCs/>
                <w:szCs w:val="22"/>
              </w:rPr>
              <w:t xml:space="preserve">No ecological constraints identified. </w:t>
            </w:r>
          </w:p>
          <w:p w14:paraId="6337C4D8" w14:textId="2801AEBA" w:rsidR="00137FB3" w:rsidRDefault="00137FB3" w:rsidP="00406EBD">
            <w:pPr>
              <w:contextualSpacing/>
              <w:rPr>
                <w:rFonts w:ascii="Calibri" w:hAnsi="Calibri"/>
                <w:b/>
                <w:szCs w:val="22"/>
              </w:rPr>
            </w:pPr>
          </w:p>
        </w:tc>
      </w:tr>
      <w:tr w:rsidR="00C0704D" w:rsidRPr="00D2449B" w14:paraId="0A9D02B4"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51AA2">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5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A51AA2">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446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833"/>
    <w:rsid w:val="000A6867"/>
    <w:rsid w:val="000B5CB5"/>
    <w:rsid w:val="000C092F"/>
    <w:rsid w:val="00130035"/>
    <w:rsid w:val="001334B9"/>
    <w:rsid w:val="00137FB3"/>
    <w:rsid w:val="001A2950"/>
    <w:rsid w:val="001D4F7A"/>
    <w:rsid w:val="001F4483"/>
    <w:rsid w:val="00246DF4"/>
    <w:rsid w:val="00250879"/>
    <w:rsid w:val="00282E3A"/>
    <w:rsid w:val="002879F1"/>
    <w:rsid w:val="0029334A"/>
    <w:rsid w:val="002954E5"/>
    <w:rsid w:val="00295A61"/>
    <w:rsid w:val="002A01CF"/>
    <w:rsid w:val="002C5DEA"/>
    <w:rsid w:val="002C6277"/>
    <w:rsid w:val="002F2580"/>
    <w:rsid w:val="00321B6E"/>
    <w:rsid w:val="00375556"/>
    <w:rsid w:val="003C5B28"/>
    <w:rsid w:val="00406EBD"/>
    <w:rsid w:val="00440CB6"/>
    <w:rsid w:val="0046548C"/>
    <w:rsid w:val="004947BB"/>
    <w:rsid w:val="00497407"/>
    <w:rsid w:val="004A5EA9"/>
    <w:rsid w:val="004C2434"/>
    <w:rsid w:val="004C3801"/>
    <w:rsid w:val="004E1D72"/>
    <w:rsid w:val="004F0649"/>
    <w:rsid w:val="00510FA2"/>
    <w:rsid w:val="00556ECD"/>
    <w:rsid w:val="0059215A"/>
    <w:rsid w:val="005E1C6C"/>
    <w:rsid w:val="005E65DF"/>
    <w:rsid w:val="005F1A36"/>
    <w:rsid w:val="00610DE6"/>
    <w:rsid w:val="00692B60"/>
    <w:rsid w:val="00696B04"/>
    <w:rsid w:val="006A71AD"/>
    <w:rsid w:val="006B3337"/>
    <w:rsid w:val="006C2BFA"/>
    <w:rsid w:val="006E503C"/>
    <w:rsid w:val="006F6849"/>
    <w:rsid w:val="0070054B"/>
    <w:rsid w:val="00713093"/>
    <w:rsid w:val="00761D2C"/>
    <w:rsid w:val="00773A66"/>
    <w:rsid w:val="00776AE2"/>
    <w:rsid w:val="007B3CB4"/>
    <w:rsid w:val="007C791C"/>
    <w:rsid w:val="007D0CEC"/>
    <w:rsid w:val="007D2203"/>
    <w:rsid w:val="007D7DF4"/>
    <w:rsid w:val="007E0D23"/>
    <w:rsid w:val="007F16D6"/>
    <w:rsid w:val="00811771"/>
    <w:rsid w:val="00824DB6"/>
    <w:rsid w:val="00837F4F"/>
    <w:rsid w:val="008542DE"/>
    <w:rsid w:val="008779A7"/>
    <w:rsid w:val="00877C8F"/>
    <w:rsid w:val="008A28C8"/>
    <w:rsid w:val="008B3B5E"/>
    <w:rsid w:val="008D31AF"/>
    <w:rsid w:val="008D46B0"/>
    <w:rsid w:val="009C1F22"/>
    <w:rsid w:val="009C461B"/>
    <w:rsid w:val="009F4443"/>
    <w:rsid w:val="00A42E82"/>
    <w:rsid w:val="00A51AA2"/>
    <w:rsid w:val="00A579BB"/>
    <w:rsid w:val="00A63D55"/>
    <w:rsid w:val="00A74F22"/>
    <w:rsid w:val="00A90D9D"/>
    <w:rsid w:val="00A95D89"/>
    <w:rsid w:val="00AF2180"/>
    <w:rsid w:val="00B5479B"/>
    <w:rsid w:val="00B93EB5"/>
    <w:rsid w:val="00BD3F03"/>
    <w:rsid w:val="00C0704D"/>
    <w:rsid w:val="00C228D1"/>
    <w:rsid w:val="00C25722"/>
    <w:rsid w:val="00C618DB"/>
    <w:rsid w:val="00D11007"/>
    <w:rsid w:val="00D17EB1"/>
    <w:rsid w:val="00D2449B"/>
    <w:rsid w:val="00D54E67"/>
    <w:rsid w:val="00DB1FA4"/>
    <w:rsid w:val="00DD3288"/>
    <w:rsid w:val="00DD62F6"/>
    <w:rsid w:val="00E46243"/>
    <w:rsid w:val="00E66534"/>
    <w:rsid w:val="00E70027"/>
    <w:rsid w:val="00E71B62"/>
    <w:rsid w:val="00E72F6C"/>
    <w:rsid w:val="00EA09F9"/>
    <w:rsid w:val="00EC23C7"/>
    <w:rsid w:val="00ED00B7"/>
    <w:rsid w:val="00ED092A"/>
    <w:rsid w:val="00EE1AA6"/>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2024-08-05T09:27:00Z</cp:lastPrinted>
  <dcterms:created xsi:type="dcterms:W3CDTF">2024-08-05T09:27:00Z</dcterms:created>
  <dcterms:modified xsi:type="dcterms:W3CDTF">2024-08-05T09:27:00Z</dcterms:modified>
</cp:coreProperties>
</file>