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545D761" w:rsidR="00837F4F" w:rsidRPr="00D2449B" w:rsidRDefault="00304251"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07AA883" w:rsidR="00837F4F" w:rsidRPr="00D2449B" w:rsidRDefault="001641E5" w:rsidP="00D2449B">
            <w:pPr>
              <w:jc w:val="center"/>
              <w:rPr>
                <w:rFonts w:ascii="Calibri" w:hAnsi="Calibri"/>
                <w:b/>
                <w:szCs w:val="22"/>
              </w:rPr>
            </w:pPr>
            <w:r>
              <w:rPr>
                <w:rFonts w:ascii="Calibri" w:hAnsi="Calibri"/>
                <w:b/>
                <w:szCs w:val="22"/>
              </w:rPr>
              <w:t>21/08/24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3FB1528" w:rsidR="00837F4F" w:rsidRPr="00D2449B" w:rsidRDefault="0015452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00C5F2" w:rsidR="00837F4F" w:rsidRPr="00D2449B" w:rsidRDefault="00154528" w:rsidP="00D2449B">
            <w:pPr>
              <w:jc w:val="center"/>
              <w:rPr>
                <w:rFonts w:ascii="Calibri" w:hAnsi="Calibri"/>
                <w:b/>
                <w:szCs w:val="22"/>
              </w:rPr>
            </w:pPr>
            <w:r>
              <w:rPr>
                <w:rFonts w:ascii="Calibri" w:hAnsi="Calibri"/>
                <w:b/>
                <w:szCs w:val="22"/>
              </w:rPr>
              <w:t>22/8/24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DC5C005" w:rsidR="004A5EA9" w:rsidRPr="005F1A36" w:rsidRDefault="00304251" w:rsidP="008542DE">
            <w:pPr>
              <w:rPr>
                <w:rFonts w:ascii="Calibri" w:hAnsi="Calibri"/>
                <w:szCs w:val="22"/>
              </w:rPr>
            </w:pPr>
            <w:r>
              <w:rPr>
                <w:rFonts w:ascii="Calibri" w:hAnsi="Calibri"/>
                <w:szCs w:val="22"/>
              </w:rPr>
              <w:t>3/2024/0470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F2AB394" w:rsidR="00824DB6" w:rsidRPr="00C0704D" w:rsidRDefault="00304251" w:rsidP="002C6277">
            <w:pPr>
              <w:rPr>
                <w:rFonts w:ascii="Calibri" w:hAnsi="Calibri"/>
                <w:szCs w:val="22"/>
              </w:rPr>
            </w:pPr>
            <w:r>
              <w:rPr>
                <w:rFonts w:ascii="Calibri" w:hAnsi="Calibri"/>
                <w:szCs w:val="22"/>
              </w:rPr>
              <w:t>30/07/24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60DAF6E" w:rsidR="00824DB6" w:rsidRPr="00C0704D" w:rsidRDefault="00304251" w:rsidP="002C6277">
            <w:pPr>
              <w:rPr>
                <w:rFonts w:ascii="Calibri" w:hAnsi="Calibri"/>
                <w:szCs w:val="22"/>
              </w:rPr>
            </w:pPr>
            <w:r>
              <w:rPr>
                <w:rFonts w:ascii="Calibri" w:hAnsi="Calibri"/>
                <w:szCs w:val="22"/>
              </w:rPr>
              <w:t>30/07/24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D1D7E4E" w:rsidR="004A5EA9" w:rsidRPr="00250879" w:rsidRDefault="00304251" w:rsidP="00811771">
            <w:pPr>
              <w:rPr>
                <w:rFonts w:ascii="Calibri" w:hAnsi="Calibri"/>
                <w:color w:val="548DD4" w:themeColor="text2" w:themeTint="99"/>
                <w:szCs w:val="22"/>
              </w:rPr>
            </w:pPr>
            <w:r w:rsidRPr="0030425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FC26276" w:rsidR="004A5EA9" w:rsidRPr="002C6277" w:rsidRDefault="00304251">
            <w:pPr>
              <w:rPr>
                <w:rFonts w:ascii="Calibri" w:hAnsi="Calibri"/>
                <w:szCs w:val="22"/>
              </w:rPr>
            </w:pPr>
            <w:r>
              <w:rPr>
                <w:rFonts w:ascii="Calibri" w:hAnsi="Calibri"/>
                <w:szCs w:val="22"/>
              </w:rPr>
              <w:t xml:space="preserve">Listed Building Consent for retention of unauthorised replacement of a central heating system including the removal of old cylinder, tanks and piping and insertion of a plastic flue pipe on the front wall.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0E4FDAB" w:rsidR="002A01CF" w:rsidRPr="002C6277" w:rsidRDefault="00304251" w:rsidP="00A42E82">
            <w:pPr>
              <w:rPr>
                <w:rFonts w:ascii="Calibri" w:hAnsi="Calibri"/>
                <w:szCs w:val="22"/>
              </w:rPr>
            </w:pPr>
            <w:r>
              <w:rPr>
                <w:rFonts w:ascii="Calibri" w:hAnsi="Calibri"/>
                <w:szCs w:val="22"/>
              </w:rPr>
              <w:t>16 Church Street, Ribchester, PR3 3XP</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4EDC23" w:rsidR="002A01CF" w:rsidRPr="00295A61" w:rsidRDefault="00B97812">
            <w:pPr>
              <w:rPr>
                <w:rFonts w:ascii="Calibri" w:hAnsi="Calibri"/>
                <w:bCs/>
                <w:szCs w:val="22"/>
              </w:rPr>
            </w:pPr>
            <w:r>
              <w:rPr>
                <w:rFonts w:ascii="Calibri" w:hAnsi="Calibri"/>
                <w:bCs/>
                <w:szCs w:val="22"/>
              </w:rPr>
              <w:t>A consultation response from Ribchester Parish Council was received on 12</w:t>
            </w:r>
            <w:r w:rsidRPr="00B97812">
              <w:rPr>
                <w:rFonts w:ascii="Calibri" w:hAnsi="Calibri"/>
                <w:bCs/>
                <w:szCs w:val="22"/>
                <w:vertAlign w:val="superscript"/>
              </w:rPr>
              <w:t>th</w:t>
            </w:r>
            <w:r>
              <w:rPr>
                <w:rFonts w:ascii="Calibri" w:hAnsi="Calibri"/>
                <w:bCs/>
                <w:szCs w:val="22"/>
              </w:rPr>
              <w:t xml:space="preserve"> August 2024 raising no objections. </w:t>
            </w:r>
            <w:r w:rsidR="00304251">
              <w:rPr>
                <w:rFonts w:ascii="Calibri" w:hAnsi="Calibri"/>
                <w:bCs/>
                <w:szCs w:val="22"/>
              </w:rPr>
              <w:t xml:space="preserve">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04FDC09" w:rsidR="002A01CF" w:rsidRPr="00304251" w:rsidRDefault="00304251">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9435D90" w:rsidR="00C0704D" w:rsidRPr="00C0704D" w:rsidRDefault="00304251"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2434A717" w14:textId="77777777" w:rsidR="009C1F22" w:rsidRDefault="009C1F22" w:rsidP="009C1F22">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6FA886CD" w14:textId="08694431" w:rsidR="009C1F22" w:rsidRPr="00C618DB"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6F0E09A7" w14:textId="77777777" w:rsidR="00610DE6" w:rsidRDefault="00304251" w:rsidP="00304251">
            <w:pPr>
              <w:pStyle w:val="PLANNING"/>
              <w:rPr>
                <w:rFonts w:ascii="Calibri" w:hAnsi="Calibri"/>
                <w:szCs w:val="22"/>
              </w:rPr>
            </w:pPr>
            <w:r>
              <w:rPr>
                <w:rFonts w:ascii="Calibri" w:hAnsi="Calibri"/>
                <w:szCs w:val="22"/>
              </w:rPr>
              <w:t xml:space="preserve">3/2008/0722: Proposed removal of glazed roof area over the single storey rear annex and replace with slates to match the existing roof and proposed demolition of short length of wall internally within the dining area </w:t>
            </w:r>
            <w:r w:rsidR="00775EFF">
              <w:rPr>
                <w:rFonts w:ascii="Calibri" w:hAnsi="Calibri"/>
                <w:szCs w:val="22"/>
              </w:rPr>
              <w:t xml:space="preserve">(Refused). </w:t>
            </w:r>
          </w:p>
          <w:p w14:paraId="601FAE9F" w14:textId="77777777" w:rsidR="00775EFF" w:rsidRDefault="00775EFF" w:rsidP="00304251">
            <w:pPr>
              <w:pStyle w:val="PLANNING"/>
              <w:rPr>
                <w:rFonts w:ascii="Calibri" w:hAnsi="Calibri"/>
                <w:szCs w:val="22"/>
              </w:rPr>
            </w:pPr>
          </w:p>
          <w:p w14:paraId="2A29EA03" w14:textId="77777777" w:rsidR="00775EFF" w:rsidRDefault="00775EFF" w:rsidP="00304251">
            <w:pPr>
              <w:pStyle w:val="PLANNING"/>
              <w:rPr>
                <w:rFonts w:ascii="Calibri" w:hAnsi="Calibri"/>
                <w:szCs w:val="22"/>
              </w:rPr>
            </w:pPr>
            <w:r>
              <w:rPr>
                <w:rFonts w:ascii="Calibri" w:hAnsi="Calibri"/>
                <w:szCs w:val="22"/>
              </w:rPr>
              <w:t xml:space="preserve">3/1995/0394: Demolition of 2no. internal walls within annex and alteration of certain openings (Permitted development). </w:t>
            </w:r>
          </w:p>
          <w:p w14:paraId="069F6430" w14:textId="77777777" w:rsidR="00775EFF" w:rsidRDefault="00775EFF" w:rsidP="00304251">
            <w:pPr>
              <w:pStyle w:val="PLANNING"/>
              <w:rPr>
                <w:rFonts w:ascii="Calibri" w:hAnsi="Calibri"/>
                <w:szCs w:val="22"/>
              </w:rPr>
            </w:pPr>
          </w:p>
          <w:p w14:paraId="376C7386" w14:textId="77777777" w:rsidR="00775EFF" w:rsidRDefault="00775EFF" w:rsidP="00304251">
            <w:pPr>
              <w:pStyle w:val="PLANNING"/>
              <w:rPr>
                <w:rFonts w:ascii="Calibri" w:hAnsi="Calibri"/>
                <w:szCs w:val="22"/>
              </w:rPr>
            </w:pPr>
            <w:r>
              <w:rPr>
                <w:rFonts w:ascii="Calibri" w:hAnsi="Calibri"/>
                <w:szCs w:val="22"/>
              </w:rPr>
              <w:lastRenderedPageBreak/>
              <w:t xml:space="preserve">3/1995/0395: Demolition of 2no. internal walls and alterations (application for listed building consent) (Approved). </w:t>
            </w:r>
          </w:p>
          <w:p w14:paraId="17147D50" w14:textId="77E5E454" w:rsidR="00775EFF" w:rsidRPr="00304251" w:rsidRDefault="00775EFF" w:rsidP="00304251">
            <w:pPr>
              <w:pStyle w:val="PLANNING"/>
              <w:rPr>
                <w:rFonts w:ascii="Calibri" w:hAnsi="Calibri"/>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C7B8C80" w14:textId="77777777" w:rsidR="0062674B" w:rsidRDefault="00775EFF"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w:t>
            </w:r>
            <w:r w:rsidR="0062674B">
              <w:rPr>
                <w:rFonts w:ascii="Calibri" w:hAnsi="Calibri"/>
                <w:bCs/>
                <w:szCs w:val="22"/>
              </w:rPr>
              <w:t xml:space="preserve"> mid-</w:t>
            </w:r>
            <w:r>
              <w:rPr>
                <w:rFonts w:ascii="Calibri" w:hAnsi="Calibri"/>
                <w:bCs/>
                <w:szCs w:val="22"/>
              </w:rPr>
              <w:t xml:space="preserve">terrace </w:t>
            </w:r>
            <w:r w:rsidR="0062674B">
              <w:rPr>
                <w:rFonts w:ascii="Calibri" w:hAnsi="Calibri"/>
                <w:bCs/>
                <w:szCs w:val="22"/>
              </w:rPr>
              <w:t>dwelling</w:t>
            </w:r>
            <w:r>
              <w:rPr>
                <w:rFonts w:ascii="Calibri" w:hAnsi="Calibri"/>
                <w:bCs/>
                <w:szCs w:val="22"/>
              </w:rPr>
              <w:t xml:space="preserve"> at no.16 Church Street,</w:t>
            </w:r>
            <w:r w:rsidR="0062674B">
              <w:rPr>
                <w:rFonts w:ascii="Calibri" w:hAnsi="Calibri"/>
                <w:bCs/>
                <w:szCs w:val="22"/>
              </w:rPr>
              <w:t xml:space="preserve"> situated within the defined settlement area of Ribchester, as well as the designated Ribchester Conservation Area. The row of terraced properties, nos. 16 to 22 inclusive, collectively form a Grade II Listed Building. The official description for nos. 16-22 Church Street reads as follows: </w:t>
            </w:r>
          </w:p>
          <w:p w14:paraId="240F2CE1" w14:textId="77777777" w:rsidR="0062674B" w:rsidRDefault="0062674B" w:rsidP="009C1F22">
            <w:pPr>
              <w:pStyle w:val="Header"/>
              <w:tabs>
                <w:tab w:val="clear" w:pos="4153"/>
                <w:tab w:val="clear" w:pos="8306"/>
              </w:tabs>
              <w:contextualSpacing/>
              <w:jc w:val="both"/>
              <w:rPr>
                <w:rFonts w:ascii="Calibri" w:hAnsi="Calibri"/>
                <w:bCs/>
                <w:szCs w:val="22"/>
              </w:rPr>
            </w:pPr>
          </w:p>
          <w:p w14:paraId="3BB71B6A" w14:textId="2E56FB9A" w:rsidR="0062674B" w:rsidRDefault="0062674B" w:rsidP="009C1F22">
            <w:pPr>
              <w:pStyle w:val="Header"/>
              <w:tabs>
                <w:tab w:val="clear" w:pos="4153"/>
                <w:tab w:val="clear" w:pos="8306"/>
              </w:tabs>
              <w:contextualSpacing/>
              <w:jc w:val="both"/>
              <w:rPr>
                <w:rFonts w:ascii="Calibri" w:hAnsi="Calibri"/>
                <w:bCs/>
                <w:i/>
                <w:iCs/>
                <w:szCs w:val="22"/>
              </w:rPr>
            </w:pPr>
            <w:r>
              <w:rPr>
                <w:rFonts w:ascii="Calibri" w:hAnsi="Calibri"/>
                <w:bCs/>
                <w:i/>
                <w:iCs/>
                <w:szCs w:val="22"/>
              </w:rPr>
              <w:t>Part of a row of weavers’ houses, late C18th. Squared sandstone with brick stacks, Nos. 16-19 having a stone slate roof, 20-22 a slate roof. 2 storeys with attics, with plain frieze and continuous stone gutter brackets. Nos. 16, 17, 18 and 19 are all of one bay with a door to the right and with 2-light windows with square mullions on the ground and 1</w:t>
            </w:r>
            <w:r w:rsidRPr="0062674B">
              <w:rPr>
                <w:rFonts w:ascii="Calibri" w:hAnsi="Calibri"/>
                <w:bCs/>
                <w:i/>
                <w:iCs/>
                <w:szCs w:val="22"/>
                <w:vertAlign w:val="superscript"/>
              </w:rPr>
              <w:t>st</w:t>
            </w:r>
            <w:r>
              <w:rPr>
                <w:rFonts w:ascii="Calibri" w:hAnsi="Calibri"/>
                <w:bCs/>
                <w:i/>
                <w:iCs/>
                <w:szCs w:val="22"/>
              </w:rPr>
              <w:t xml:space="preserve"> floors (except No. 19 which lacks mullions). A tunnel entrance with semi-circular head and keystone shares the right-hand jamb of the doorway to Nos. 17-19. Nos. 20,21 and 22 are similar but have only one light to each window. Nos. 21 and 22 are a pair with doorways in the centre separated by a flat-headed tunnel entrance which shared their jambs. Modern glazing throughout, except for the attic window of No.19 which has fixed small panes. The attic windows of Nos. 20-22 are </w:t>
            </w:r>
            <w:r w:rsidR="00A25E0D">
              <w:rPr>
                <w:rFonts w:ascii="Calibri" w:hAnsi="Calibri"/>
                <w:bCs/>
                <w:i/>
                <w:iCs/>
                <w:szCs w:val="22"/>
              </w:rPr>
              <w:t>blocked,</w:t>
            </w:r>
            <w:r>
              <w:rPr>
                <w:rFonts w:ascii="Calibri" w:hAnsi="Calibri"/>
                <w:bCs/>
                <w:i/>
                <w:iCs/>
                <w:szCs w:val="22"/>
              </w:rPr>
              <w:t xml:space="preserve"> and a window has been inserted above the last tunnel. Above the tunnel entrance to No.17 is a plaque ‘RHM 1793’. </w:t>
            </w:r>
          </w:p>
          <w:p w14:paraId="258DA467" w14:textId="77777777" w:rsidR="003C059B" w:rsidRDefault="003C059B" w:rsidP="009C1F22">
            <w:pPr>
              <w:pStyle w:val="Header"/>
              <w:tabs>
                <w:tab w:val="clear" w:pos="4153"/>
                <w:tab w:val="clear" w:pos="8306"/>
              </w:tabs>
              <w:contextualSpacing/>
              <w:jc w:val="both"/>
              <w:rPr>
                <w:rFonts w:ascii="Calibri" w:hAnsi="Calibri"/>
                <w:bCs/>
                <w:i/>
                <w:iCs/>
                <w:szCs w:val="22"/>
              </w:rPr>
            </w:pPr>
          </w:p>
          <w:p w14:paraId="0E9D1FC2" w14:textId="2D19628F" w:rsidR="003C059B" w:rsidRPr="003C059B" w:rsidRDefault="003C059B"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There are also a number of other listed buildings in the immediate vicinity of the application property, including 8-15 Church Street, 23-24 Church Street, 25-26 Church Street, 61-62 Church Street, White Bull Hotel and Former Stable Adjoining to the North, Mounting Block in front of White Bull Hotel. Ribchester Roman Fort, a Scheduled Monument, is also situated to the rear of the proposal site. </w:t>
            </w:r>
          </w:p>
          <w:p w14:paraId="62370E9F" w14:textId="4AFF009C" w:rsidR="0062674B" w:rsidRPr="006C2BFA" w:rsidRDefault="0062674B"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A2799D7" w14:textId="77777777" w:rsidR="00C0704D" w:rsidRDefault="003C059B" w:rsidP="00406EBD">
            <w:pPr>
              <w:pStyle w:val="Header"/>
              <w:tabs>
                <w:tab w:val="clear" w:pos="4153"/>
                <w:tab w:val="clear" w:pos="8306"/>
              </w:tabs>
              <w:jc w:val="both"/>
              <w:rPr>
                <w:rFonts w:ascii="Calibri" w:hAnsi="Calibri"/>
                <w:szCs w:val="22"/>
              </w:rPr>
            </w:pPr>
            <w:r>
              <w:rPr>
                <w:rFonts w:ascii="Calibri" w:hAnsi="Calibri"/>
                <w:szCs w:val="22"/>
              </w:rPr>
              <w:t xml:space="preserve">Listed Building Consent is sought for the retention of unauthorised work, including the replacement of the central heating system and removal of old cylinder, tanks and piping, and insertion of a plastic flue pipe on the front wall. </w:t>
            </w:r>
          </w:p>
          <w:p w14:paraId="1B20488F" w14:textId="2FBB1FAD" w:rsidR="003C059B" w:rsidRPr="003C059B" w:rsidRDefault="003C059B" w:rsidP="00406EBD">
            <w:pPr>
              <w:pStyle w:val="Header"/>
              <w:tabs>
                <w:tab w:val="clear" w:pos="4153"/>
                <w:tab w:val="clear" w:pos="8306"/>
              </w:tabs>
              <w:jc w:val="both"/>
              <w:rPr>
                <w:rFonts w:ascii="Calibri" w:hAnsi="Calibri"/>
                <w:szCs w:val="22"/>
              </w:rPr>
            </w:pPr>
          </w:p>
        </w:tc>
      </w:tr>
      <w:tr w:rsidR="00406EBD" w:rsidRPr="00D2449B"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8539E" w14:textId="0E3ED513" w:rsidR="00406EBD" w:rsidRDefault="001C6DB3" w:rsidP="005355A8">
            <w:pPr>
              <w:pStyle w:val="Header"/>
              <w:tabs>
                <w:tab w:val="clear" w:pos="4153"/>
                <w:tab w:val="clear" w:pos="8306"/>
              </w:tabs>
              <w:contextualSpacing/>
              <w:jc w:val="both"/>
              <w:rPr>
                <w:rFonts w:ascii="Calibri" w:hAnsi="Calibri"/>
                <w:b/>
                <w:szCs w:val="22"/>
              </w:rPr>
            </w:pPr>
            <w:r>
              <w:rPr>
                <w:rFonts w:ascii="Calibri" w:hAnsi="Calibri"/>
                <w:b/>
                <w:szCs w:val="22"/>
              </w:rPr>
              <w:t xml:space="preserve">Impact upon Listed Building and Setting: </w:t>
            </w:r>
          </w:p>
          <w:p w14:paraId="3AFA411A" w14:textId="77777777" w:rsidR="001C6DB3" w:rsidRDefault="001C6DB3" w:rsidP="005355A8">
            <w:pPr>
              <w:pStyle w:val="Header"/>
              <w:tabs>
                <w:tab w:val="clear" w:pos="4153"/>
                <w:tab w:val="clear" w:pos="8306"/>
              </w:tabs>
              <w:contextualSpacing/>
              <w:jc w:val="both"/>
              <w:rPr>
                <w:rFonts w:ascii="Calibri" w:hAnsi="Calibri"/>
                <w:b/>
                <w:szCs w:val="22"/>
              </w:rPr>
            </w:pPr>
          </w:p>
          <w:p w14:paraId="466B4B45" w14:textId="77777777" w:rsidR="001C6DB3" w:rsidRPr="001C6DB3" w:rsidRDefault="001C6DB3" w:rsidP="005355A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When assessing works to Listed Buildings and their setting, the Local Planning Authority must accord with their duties at Sections 16 and 66 of the Planning (Listed Buildings and Conservation Areas) Act 1990 which states: </w:t>
            </w:r>
          </w:p>
          <w:p w14:paraId="1D336FD5"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59560915" w14:textId="77777777" w:rsidR="001C6DB3" w:rsidRPr="001C6DB3" w:rsidRDefault="001C6DB3" w:rsidP="005355A8">
            <w:pPr>
              <w:pStyle w:val="Header"/>
              <w:tabs>
                <w:tab w:val="clear" w:pos="4153"/>
                <w:tab w:val="clear" w:pos="8306"/>
              </w:tabs>
              <w:contextualSpacing/>
              <w:jc w:val="both"/>
              <w:rPr>
                <w:rFonts w:ascii="Calibri" w:hAnsi="Calibri"/>
                <w:i/>
                <w:iCs/>
                <w:szCs w:val="22"/>
              </w:rPr>
            </w:pPr>
            <w:r w:rsidRPr="001C6DB3">
              <w:rPr>
                <w:rFonts w:ascii="Calibri" w:hAnsi="Calibri"/>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54A74823"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30875AEE" w14:textId="77777777" w:rsidR="001C6DB3" w:rsidRPr="001C6DB3" w:rsidRDefault="001C6DB3" w:rsidP="005355A8">
            <w:pPr>
              <w:pStyle w:val="Header"/>
              <w:tabs>
                <w:tab w:val="clear" w:pos="4153"/>
                <w:tab w:val="clear" w:pos="8306"/>
              </w:tabs>
              <w:contextualSpacing/>
              <w:jc w:val="both"/>
              <w:rPr>
                <w:rFonts w:ascii="Calibri" w:hAnsi="Calibri"/>
                <w:i/>
                <w:iCs/>
                <w:szCs w:val="22"/>
              </w:rPr>
            </w:pPr>
            <w:r w:rsidRPr="001C6DB3">
              <w:rPr>
                <w:rFonts w:ascii="Calibri" w:hAnsi="Calibri"/>
                <w:i/>
                <w:iCs/>
                <w:szCs w:val="22"/>
              </w:rPr>
              <w:t xml:space="preserve">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53B82BBC"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5B72ABE1" w14:textId="5330625A" w:rsidR="001C6DB3" w:rsidRPr="001C6DB3" w:rsidRDefault="001C6DB3" w:rsidP="005355A8">
            <w:pPr>
              <w:pStyle w:val="Header"/>
              <w:tabs>
                <w:tab w:val="clear" w:pos="4153"/>
                <w:tab w:val="clear" w:pos="8306"/>
              </w:tabs>
              <w:contextualSpacing/>
              <w:jc w:val="both"/>
              <w:rPr>
                <w:rFonts w:ascii="Calibri" w:hAnsi="Calibri"/>
                <w:szCs w:val="22"/>
              </w:rPr>
            </w:pPr>
            <w:r w:rsidRPr="001C6DB3">
              <w:rPr>
                <w:rFonts w:ascii="Calibri" w:hAnsi="Calibri"/>
                <w:szCs w:val="22"/>
              </w:rPr>
              <w:t>Accordingly, the proposed works to the Listed Building will be carefully assessed with respect to the duties above</w:t>
            </w:r>
            <w:r>
              <w:rPr>
                <w:rFonts w:ascii="Calibri" w:hAnsi="Calibri"/>
                <w:szCs w:val="22"/>
              </w:rPr>
              <w:t>.</w:t>
            </w:r>
          </w:p>
          <w:p w14:paraId="5938B5BF" w14:textId="77777777" w:rsidR="001C6DB3" w:rsidRPr="001C6DB3" w:rsidRDefault="001C6DB3" w:rsidP="005355A8">
            <w:pPr>
              <w:pStyle w:val="Header"/>
              <w:tabs>
                <w:tab w:val="clear" w:pos="4153"/>
                <w:tab w:val="clear" w:pos="8306"/>
              </w:tabs>
              <w:contextualSpacing/>
              <w:jc w:val="both"/>
              <w:rPr>
                <w:rFonts w:ascii="Calibri" w:hAnsi="Calibri"/>
                <w:b/>
                <w:bCs/>
                <w:szCs w:val="22"/>
              </w:rPr>
            </w:pPr>
          </w:p>
          <w:p w14:paraId="6FA14683" w14:textId="77777777" w:rsidR="001C6DB3" w:rsidRPr="001C6DB3" w:rsidRDefault="001C6DB3" w:rsidP="005355A8">
            <w:pPr>
              <w:pStyle w:val="Header"/>
              <w:tabs>
                <w:tab w:val="clear" w:pos="4153"/>
                <w:tab w:val="clear" w:pos="8306"/>
              </w:tabs>
              <w:contextualSpacing/>
              <w:jc w:val="both"/>
              <w:rPr>
                <w:rFonts w:ascii="Calibri" w:hAnsi="Calibri"/>
                <w:szCs w:val="22"/>
              </w:rPr>
            </w:pPr>
            <w:r w:rsidRPr="001C6DB3">
              <w:rPr>
                <w:rFonts w:ascii="Calibri" w:hAnsi="Calibri"/>
                <w:szCs w:val="22"/>
              </w:rPr>
              <w:lastRenderedPageBreak/>
              <w:t xml:space="preserve">With regards to proposals for development affecting Listed Buildings, Paragraph 205 of the National Planning Policy Framework states: </w:t>
            </w:r>
          </w:p>
          <w:p w14:paraId="191AFF89"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3BC9ECA2" w14:textId="77777777" w:rsidR="001C6DB3" w:rsidRPr="001C6DB3" w:rsidRDefault="001C6DB3" w:rsidP="005355A8">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When considering the impact of a proposed development on the significant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4C87CFBA" w14:textId="77777777" w:rsidR="001C6DB3" w:rsidRPr="001C6DB3" w:rsidRDefault="001C6DB3" w:rsidP="005355A8">
            <w:pPr>
              <w:pStyle w:val="Header"/>
              <w:tabs>
                <w:tab w:val="clear" w:pos="4153"/>
                <w:tab w:val="clear" w:pos="8306"/>
              </w:tabs>
              <w:contextualSpacing/>
              <w:jc w:val="both"/>
              <w:rPr>
                <w:rFonts w:ascii="Calibri" w:hAnsi="Calibri"/>
                <w:i/>
                <w:iCs/>
                <w:szCs w:val="22"/>
              </w:rPr>
            </w:pPr>
          </w:p>
          <w:p w14:paraId="1138FA59" w14:textId="77777777" w:rsidR="001C6DB3" w:rsidRPr="001C6DB3" w:rsidRDefault="001C6DB3" w:rsidP="005355A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At the local level, Key Statement EN5 and Policy DME4 of the Ribble Valley Core Strategy are primarily engaged for the purposes of assessing likely impacts upon the designated heritage asset resultant from the proposed development. </w:t>
            </w:r>
          </w:p>
          <w:p w14:paraId="708F9FFA" w14:textId="77777777" w:rsidR="001C6DB3" w:rsidRPr="001C6DB3" w:rsidRDefault="001C6DB3" w:rsidP="005355A8">
            <w:pPr>
              <w:pStyle w:val="Header"/>
              <w:tabs>
                <w:tab w:val="clear" w:pos="4153"/>
                <w:tab w:val="clear" w:pos="8306"/>
              </w:tabs>
              <w:contextualSpacing/>
              <w:jc w:val="both"/>
              <w:rPr>
                <w:rFonts w:ascii="Calibri" w:hAnsi="Calibri"/>
                <w:i/>
                <w:iCs/>
                <w:szCs w:val="22"/>
              </w:rPr>
            </w:pPr>
          </w:p>
          <w:p w14:paraId="50F9275D" w14:textId="77777777" w:rsidR="001C6DB3" w:rsidRPr="001C6DB3" w:rsidRDefault="001C6DB3" w:rsidP="005355A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In this respect, Key Statement EN5 of the Ribble Valley Core Strategy states: </w:t>
            </w:r>
          </w:p>
          <w:p w14:paraId="01680A35"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0F5C4A8E" w14:textId="77777777" w:rsidR="001C6DB3" w:rsidRPr="001C6DB3" w:rsidRDefault="001C6DB3" w:rsidP="005355A8">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There will be a presumption in favour of the conservation and enhancement of the significant of heritage assets and their setting.’ </w:t>
            </w:r>
          </w:p>
          <w:p w14:paraId="62A4DF02" w14:textId="77777777" w:rsidR="001C6DB3" w:rsidRPr="001C6DB3" w:rsidRDefault="001C6DB3" w:rsidP="005355A8">
            <w:pPr>
              <w:pStyle w:val="Header"/>
              <w:tabs>
                <w:tab w:val="clear" w:pos="4153"/>
                <w:tab w:val="clear" w:pos="8306"/>
              </w:tabs>
              <w:contextualSpacing/>
              <w:jc w:val="both"/>
              <w:rPr>
                <w:rFonts w:ascii="Calibri" w:hAnsi="Calibri"/>
                <w:i/>
                <w:iCs/>
                <w:szCs w:val="22"/>
              </w:rPr>
            </w:pPr>
          </w:p>
          <w:p w14:paraId="6A0C489F" w14:textId="77777777" w:rsidR="001C6DB3" w:rsidRPr="001C6DB3" w:rsidRDefault="001C6DB3" w:rsidP="005355A8">
            <w:pPr>
              <w:pStyle w:val="Header"/>
              <w:tabs>
                <w:tab w:val="clear" w:pos="4153"/>
                <w:tab w:val="clear" w:pos="8306"/>
              </w:tabs>
              <w:contextualSpacing/>
              <w:jc w:val="both"/>
              <w:rPr>
                <w:rFonts w:ascii="Calibri" w:hAnsi="Calibri"/>
                <w:szCs w:val="22"/>
              </w:rPr>
            </w:pPr>
            <w:r w:rsidRPr="001C6DB3">
              <w:rPr>
                <w:rFonts w:ascii="Calibri" w:hAnsi="Calibri"/>
                <w:szCs w:val="22"/>
              </w:rPr>
              <w:t xml:space="preserve">Furthermore, Policy DME4 of the Core Strategy states: </w:t>
            </w:r>
          </w:p>
          <w:p w14:paraId="744AEBB4"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79414076" w14:textId="77777777" w:rsidR="001C6DB3" w:rsidRPr="001C6DB3" w:rsidRDefault="001C6DB3" w:rsidP="005355A8">
            <w:pPr>
              <w:pStyle w:val="Header"/>
              <w:tabs>
                <w:tab w:val="clear" w:pos="4153"/>
                <w:tab w:val="clear" w:pos="8306"/>
              </w:tabs>
              <w:contextualSpacing/>
              <w:jc w:val="both"/>
              <w:rPr>
                <w:rFonts w:ascii="Calibri" w:hAnsi="Calibri"/>
                <w:i/>
                <w:iCs/>
                <w:szCs w:val="22"/>
              </w:rPr>
            </w:pPr>
            <w:r w:rsidRPr="001C6DB3">
              <w:rPr>
                <w:rFonts w:ascii="Calibri" w:hAnsi="Calibri"/>
                <w:szCs w:val="22"/>
              </w:rPr>
              <w:t>‘</w:t>
            </w:r>
            <w:r w:rsidRPr="001C6DB3">
              <w:rPr>
                <w:rFonts w:ascii="Calibri" w:hAnsi="Calibri"/>
                <w:i/>
                <w:iCs/>
                <w:szCs w:val="22"/>
              </w:rPr>
              <w:t xml:space="preserve">Alterations or extensions to Listed Buildings or buildings of local heritage interest, or development proposals on sites within their setting which cause harm to the significant of the heritage asset will not be supported’. </w:t>
            </w:r>
          </w:p>
          <w:p w14:paraId="5752FA9B" w14:textId="77777777" w:rsidR="001C6DB3" w:rsidRPr="001C6DB3" w:rsidRDefault="001C6DB3" w:rsidP="005355A8">
            <w:pPr>
              <w:pStyle w:val="Header"/>
              <w:tabs>
                <w:tab w:val="clear" w:pos="4153"/>
                <w:tab w:val="clear" w:pos="8306"/>
              </w:tabs>
              <w:contextualSpacing/>
              <w:jc w:val="both"/>
              <w:rPr>
                <w:rFonts w:ascii="Calibri" w:hAnsi="Calibri"/>
                <w:szCs w:val="22"/>
              </w:rPr>
            </w:pPr>
          </w:p>
          <w:p w14:paraId="0957E38D" w14:textId="77777777" w:rsidR="0018175C" w:rsidRDefault="0018175C" w:rsidP="005355A8">
            <w:pPr>
              <w:pStyle w:val="Header"/>
              <w:tabs>
                <w:tab w:val="clear" w:pos="4153"/>
                <w:tab w:val="clear" w:pos="8306"/>
              </w:tabs>
              <w:jc w:val="both"/>
              <w:rPr>
                <w:rFonts w:ascii="Calibri" w:hAnsi="Calibri"/>
                <w:bCs/>
                <w:szCs w:val="22"/>
              </w:rPr>
            </w:pPr>
            <w:r>
              <w:rPr>
                <w:rFonts w:ascii="Calibri" w:hAnsi="Calibri"/>
                <w:bCs/>
                <w:szCs w:val="22"/>
              </w:rPr>
              <w:t xml:space="preserve">Policy DMG1 is also engaged in concert with Key Statement EN5 and Policy DME4 insofar that the policy sets out general Development Management considerations, with the policy having a number of inherent criterions that are relevant to the assessment of the current proposal, which state: </w:t>
            </w:r>
          </w:p>
          <w:p w14:paraId="0BC13C6B" w14:textId="77777777" w:rsidR="0018175C" w:rsidRDefault="0018175C" w:rsidP="005355A8">
            <w:pPr>
              <w:pStyle w:val="Header"/>
              <w:tabs>
                <w:tab w:val="clear" w:pos="4153"/>
                <w:tab w:val="clear" w:pos="8306"/>
              </w:tabs>
              <w:jc w:val="both"/>
              <w:rPr>
                <w:rFonts w:ascii="Calibri" w:hAnsi="Calibri"/>
                <w:bCs/>
                <w:szCs w:val="22"/>
              </w:rPr>
            </w:pPr>
          </w:p>
          <w:p w14:paraId="0F377E16" w14:textId="77777777" w:rsidR="0018175C" w:rsidRDefault="0018175C" w:rsidP="005355A8">
            <w:pPr>
              <w:pStyle w:val="Header"/>
              <w:tabs>
                <w:tab w:val="left" w:pos="720"/>
              </w:tabs>
              <w:jc w:val="both"/>
              <w:rPr>
                <w:rFonts w:ascii="Calibri" w:hAnsi="Calibri"/>
                <w:bCs/>
                <w:i/>
                <w:iCs/>
                <w:szCs w:val="22"/>
              </w:rPr>
            </w:pPr>
            <w:r>
              <w:rPr>
                <w:rFonts w:ascii="Calibri" w:hAnsi="Calibri"/>
                <w:bCs/>
                <w:i/>
                <w:iCs/>
                <w:szCs w:val="22"/>
              </w:rPr>
              <w:t xml:space="preserve">‘In determining planning applications, all development must: </w:t>
            </w:r>
          </w:p>
          <w:p w14:paraId="5EECC1B8" w14:textId="77777777" w:rsidR="0018175C" w:rsidRDefault="0018175C" w:rsidP="005355A8">
            <w:pPr>
              <w:pStyle w:val="Header"/>
              <w:tabs>
                <w:tab w:val="left" w:pos="720"/>
              </w:tabs>
              <w:jc w:val="both"/>
              <w:rPr>
                <w:rFonts w:ascii="Calibri" w:hAnsi="Calibri"/>
                <w:bCs/>
                <w:i/>
                <w:iCs/>
                <w:szCs w:val="22"/>
              </w:rPr>
            </w:pPr>
          </w:p>
          <w:p w14:paraId="3BD0A4BC" w14:textId="77777777" w:rsidR="0018175C" w:rsidRDefault="0018175C" w:rsidP="005355A8">
            <w:pPr>
              <w:jc w:val="both"/>
              <w:rPr>
                <w:rFonts w:asciiTheme="minorHAnsi" w:hAnsiTheme="minorHAnsi" w:cstheme="minorHAnsi"/>
                <w:b/>
                <w:bCs/>
                <w:i/>
                <w:iCs/>
                <w:szCs w:val="22"/>
              </w:rPr>
            </w:pPr>
            <w:r>
              <w:rPr>
                <w:rFonts w:asciiTheme="minorHAnsi" w:hAnsiTheme="minorHAnsi" w:cstheme="minorHAnsi"/>
                <w:b/>
                <w:bCs/>
                <w:i/>
                <w:iCs/>
                <w:szCs w:val="22"/>
              </w:rPr>
              <w:t>DESIGN</w:t>
            </w:r>
          </w:p>
          <w:p w14:paraId="4E4C818F" w14:textId="77777777" w:rsidR="0018175C" w:rsidRDefault="0018175C" w:rsidP="005355A8">
            <w:pPr>
              <w:jc w:val="both"/>
              <w:rPr>
                <w:rFonts w:asciiTheme="minorHAnsi" w:hAnsiTheme="minorHAnsi" w:cstheme="minorHAnsi"/>
                <w:i/>
                <w:iCs/>
                <w:szCs w:val="22"/>
              </w:rPr>
            </w:pPr>
          </w:p>
          <w:p w14:paraId="68132CCE" w14:textId="77777777" w:rsidR="0018175C" w:rsidRDefault="0018175C" w:rsidP="005355A8">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of a high standard of building design which considers the 8 building in context principles (from the CABE/English Heritage building on context toolkit.</w:t>
            </w:r>
          </w:p>
          <w:p w14:paraId="42AABD38" w14:textId="77777777" w:rsidR="0018175C" w:rsidRDefault="0018175C" w:rsidP="005355A8">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2B29D3C7" w14:textId="77777777" w:rsidR="0018175C" w:rsidRDefault="0018175C" w:rsidP="005355A8">
            <w:pPr>
              <w:pStyle w:val="ListParagraph"/>
              <w:numPr>
                <w:ilvl w:val="0"/>
                <w:numId w:val="3"/>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EAE493D" w14:textId="77777777" w:rsidR="0018175C" w:rsidRDefault="0018175C" w:rsidP="005355A8">
            <w:pPr>
              <w:pStyle w:val="ListParagraph"/>
              <w:overflowPunct/>
              <w:autoSpaceDE/>
              <w:adjustRightInd/>
              <w:jc w:val="both"/>
              <w:rPr>
                <w:rFonts w:asciiTheme="minorHAnsi" w:hAnsiTheme="minorHAnsi" w:cstheme="minorHAnsi"/>
                <w:i/>
                <w:iCs/>
                <w:szCs w:val="22"/>
              </w:rPr>
            </w:pPr>
          </w:p>
          <w:p w14:paraId="7F3CA217" w14:textId="77777777" w:rsidR="0018175C" w:rsidRDefault="0018175C" w:rsidP="005355A8">
            <w:pPr>
              <w:jc w:val="both"/>
              <w:rPr>
                <w:rFonts w:asciiTheme="minorHAnsi" w:hAnsiTheme="minorHAnsi" w:cstheme="minorHAnsi"/>
                <w:b/>
                <w:bCs/>
                <w:i/>
                <w:iCs/>
                <w:szCs w:val="22"/>
              </w:rPr>
            </w:pPr>
            <w:r>
              <w:rPr>
                <w:rFonts w:asciiTheme="minorHAnsi" w:hAnsiTheme="minorHAnsi" w:cstheme="minorHAnsi"/>
                <w:b/>
                <w:bCs/>
                <w:i/>
                <w:iCs/>
                <w:szCs w:val="22"/>
              </w:rPr>
              <w:t>AMENITY</w:t>
            </w:r>
          </w:p>
          <w:p w14:paraId="54235327" w14:textId="77777777" w:rsidR="0018175C" w:rsidRDefault="0018175C" w:rsidP="005355A8">
            <w:pPr>
              <w:jc w:val="both"/>
              <w:rPr>
                <w:rFonts w:asciiTheme="minorHAnsi" w:hAnsiTheme="minorHAnsi" w:cstheme="minorHAnsi"/>
                <w:i/>
                <w:iCs/>
                <w:szCs w:val="22"/>
              </w:rPr>
            </w:pPr>
          </w:p>
          <w:p w14:paraId="6A39D050" w14:textId="77777777" w:rsidR="0018175C" w:rsidRDefault="0018175C" w:rsidP="005355A8">
            <w:pPr>
              <w:pStyle w:val="ListParagraph"/>
              <w:numPr>
                <w:ilvl w:val="0"/>
                <w:numId w:val="4"/>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Not adversely affect the amenities of the surrounding area.</w:t>
            </w:r>
          </w:p>
          <w:p w14:paraId="46F98266" w14:textId="77777777" w:rsidR="0018175C" w:rsidRDefault="0018175C" w:rsidP="005355A8">
            <w:pPr>
              <w:jc w:val="both"/>
              <w:rPr>
                <w:rFonts w:ascii="Calibri" w:hAnsi="Calibri"/>
                <w:b/>
              </w:rPr>
            </w:pPr>
          </w:p>
          <w:p w14:paraId="6D0C6E20" w14:textId="77777777" w:rsidR="0018175C" w:rsidRDefault="0018175C" w:rsidP="005355A8">
            <w:pPr>
              <w:jc w:val="both"/>
              <w:rPr>
                <w:rFonts w:asciiTheme="minorHAnsi" w:hAnsiTheme="minorHAnsi" w:cstheme="minorHAnsi"/>
                <w:b/>
                <w:bCs/>
                <w:i/>
                <w:iCs/>
                <w:szCs w:val="22"/>
              </w:rPr>
            </w:pPr>
            <w:r>
              <w:rPr>
                <w:rFonts w:asciiTheme="minorHAnsi" w:hAnsiTheme="minorHAnsi" w:cstheme="minorHAnsi"/>
                <w:b/>
                <w:bCs/>
                <w:i/>
                <w:iCs/>
                <w:szCs w:val="22"/>
              </w:rPr>
              <w:t>ENVIRONMENT</w:t>
            </w:r>
          </w:p>
          <w:p w14:paraId="10E9B11F" w14:textId="77777777" w:rsidR="0018175C" w:rsidRDefault="0018175C" w:rsidP="005355A8">
            <w:pPr>
              <w:jc w:val="both"/>
              <w:rPr>
                <w:rFonts w:asciiTheme="minorHAnsi" w:hAnsiTheme="minorHAnsi" w:cstheme="minorHAnsi"/>
                <w:i/>
                <w:iCs/>
                <w:szCs w:val="22"/>
              </w:rPr>
            </w:pPr>
          </w:p>
          <w:p w14:paraId="703CB086" w14:textId="77777777" w:rsidR="0018175C" w:rsidRDefault="0018175C" w:rsidP="005355A8">
            <w:pPr>
              <w:pStyle w:val="ListParagraph"/>
              <w:numPr>
                <w:ilvl w:val="0"/>
                <w:numId w:val="5"/>
              </w:num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 xml:space="preserve">All development must protect and enhance heritage assets and their settings.’ </w:t>
            </w:r>
          </w:p>
          <w:p w14:paraId="634D02B5" w14:textId="77777777" w:rsidR="0018175C" w:rsidRDefault="0018175C" w:rsidP="005355A8">
            <w:pPr>
              <w:tabs>
                <w:tab w:val="center" w:pos="4153"/>
                <w:tab w:val="right" w:pos="8306"/>
              </w:tabs>
              <w:overflowPunct/>
              <w:autoSpaceDE/>
              <w:adjustRightInd/>
              <w:jc w:val="both"/>
              <w:textAlignment w:val="auto"/>
              <w:rPr>
                <w:rFonts w:asciiTheme="minorHAnsi" w:hAnsiTheme="minorHAnsi" w:cstheme="minorHAnsi"/>
                <w:i/>
                <w:iCs/>
                <w:szCs w:val="22"/>
              </w:rPr>
            </w:pPr>
          </w:p>
          <w:p w14:paraId="1C6DC7AD" w14:textId="77777777" w:rsidR="0018175C" w:rsidRDefault="0018175C" w:rsidP="005355A8">
            <w:pPr>
              <w:tabs>
                <w:tab w:val="center" w:pos="4153"/>
                <w:tab w:val="right" w:pos="8306"/>
              </w:tabs>
              <w:overflowPunct/>
              <w:autoSpaceDE/>
              <w:adjustRightInd/>
              <w:jc w:val="both"/>
              <w:textAlignment w:val="auto"/>
              <w:rPr>
                <w:rFonts w:asciiTheme="minorHAnsi" w:hAnsiTheme="minorHAnsi" w:cstheme="minorHAnsi"/>
                <w:szCs w:val="22"/>
              </w:rPr>
            </w:pPr>
            <w:r>
              <w:rPr>
                <w:rFonts w:asciiTheme="minorHAnsi" w:hAnsiTheme="minorHAnsi" w:cstheme="minorHAnsi"/>
                <w:szCs w:val="22"/>
              </w:rPr>
              <w:t xml:space="preserve">Historic England guidance Making Changes to Heritage Assets (2016) states: </w:t>
            </w:r>
          </w:p>
          <w:p w14:paraId="3A91FD3B" w14:textId="77777777" w:rsidR="0018175C" w:rsidRDefault="0018175C" w:rsidP="005355A8">
            <w:pPr>
              <w:tabs>
                <w:tab w:val="center" w:pos="4153"/>
                <w:tab w:val="right" w:pos="8306"/>
              </w:tabs>
              <w:overflowPunct/>
              <w:autoSpaceDE/>
              <w:adjustRightInd/>
              <w:jc w:val="both"/>
              <w:textAlignment w:val="auto"/>
              <w:rPr>
                <w:rFonts w:asciiTheme="minorHAnsi" w:hAnsiTheme="minorHAnsi" w:cstheme="minorHAnsi"/>
                <w:szCs w:val="22"/>
              </w:rPr>
            </w:pPr>
          </w:p>
          <w:p w14:paraId="14CFB9E8" w14:textId="77777777" w:rsidR="0018175C" w:rsidRDefault="0018175C" w:rsidP="005355A8">
            <w:p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szCs w:val="22"/>
              </w:rPr>
              <w:t>‘</w:t>
            </w:r>
            <w:r>
              <w:rPr>
                <w:rFonts w:asciiTheme="minorHAnsi" w:hAnsiTheme="minorHAnsi" w:cstheme="minorHAnsi"/>
                <w:i/>
                <w:iCs/>
                <w:szCs w:val="22"/>
              </w:rPr>
              <w:t xml:space="preserve">… new features added to a building are less likely to have an impact on the significance if they follow the character of the building … new services, both internal and external, can have a considerable, and often cumulative, impact on the significance of a building and can affect significance if added thoughtlessly … the historic fabric will always be an important part of the asset’s significance … where possible it is preferrable for new work to be reversible, so that changes can be undone without harm to the historic fabric … retention </w:t>
            </w:r>
            <w:r>
              <w:rPr>
                <w:rFonts w:asciiTheme="minorHAnsi" w:hAnsiTheme="minorHAnsi" w:cstheme="minorHAnsi"/>
                <w:i/>
                <w:iCs/>
                <w:szCs w:val="22"/>
              </w:rPr>
              <w:lastRenderedPageBreak/>
              <w:t xml:space="preserve">of as much historic fabric as possible is likely to fulfil the NPPF policy to conserve heritage assets in a manner appropriate to their significance.’ </w:t>
            </w:r>
          </w:p>
          <w:p w14:paraId="7BB0B1CF" w14:textId="77777777" w:rsidR="001C6DB3" w:rsidRDefault="001C6DB3" w:rsidP="005355A8">
            <w:pPr>
              <w:pStyle w:val="Header"/>
              <w:tabs>
                <w:tab w:val="clear" w:pos="4153"/>
                <w:tab w:val="clear" w:pos="8306"/>
              </w:tabs>
              <w:contextualSpacing/>
              <w:jc w:val="both"/>
              <w:rPr>
                <w:rFonts w:ascii="Calibri" w:hAnsi="Calibri"/>
                <w:b/>
                <w:szCs w:val="22"/>
              </w:rPr>
            </w:pPr>
          </w:p>
          <w:p w14:paraId="5C0B9300" w14:textId="77777777" w:rsidR="0018175C" w:rsidRDefault="0018175C" w:rsidP="005355A8">
            <w:pPr>
              <w:tabs>
                <w:tab w:val="center" w:pos="4153"/>
                <w:tab w:val="right" w:pos="8306"/>
              </w:tabs>
              <w:overflowPunct/>
              <w:autoSpaceDE/>
              <w:adjustRightInd/>
              <w:jc w:val="both"/>
              <w:textAlignment w:val="auto"/>
              <w:rPr>
                <w:rFonts w:asciiTheme="minorHAnsi" w:hAnsiTheme="minorHAnsi" w:cstheme="minorHAnsi"/>
                <w:szCs w:val="22"/>
              </w:rPr>
            </w:pPr>
            <w:r>
              <w:rPr>
                <w:rFonts w:asciiTheme="minorHAnsi" w:hAnsiTheme="minorHAnsi" w:cstheme="minorHAnsi"/>
                <w:szCs w:val="22"/>
              </w:rPr>
              <w:t xml:space="preserve">In a similar vein, the Institute of Historic Building Conservation (2021) advises: </w:t>
            </w:r>
          </w:p>
          <w:p w14:paraId="43135119" w14:textId="77777777" w:rsidR="0018175C" w:rsidRDefault="0018175C" w:rsidP="005355A8">
            <w:pPr>
              <w:tabs>
                <w:tab w:val="center" w:pos="4153"/>
                <w:tab w:val="right" w:pos="8306"/>
              </w:tabs>
              <w:overflowPunct/>
              <w:autoSpaceDE/>
              <w:adjustRightInd/>
              <w:jc w:val="both"/>
              <w:textAlignment w:val="auto"/>
              <w:rPr>
                <w:rFonts w:asciiTheme="minorHAnsi" w:hAnsiTheme="minorHAnsi" w:cstheme="minorHAnsi"/>
                <w:szCs w:val="22"/>
              </w:rPr>
            </w:pPr>
          </w:p>
          <w:p w14:paraId="571B0DB6" w14:textId="35D8DD2A" w:rsidR="0018175C" w:rsidRDefault="0018175C" w:rsidP="005355A8">
            <w:pPr>
              <w:tabs>
                <w:tab w:val="center" w:pos="4153"/>
                <w:tab w:val="right" w:pos="8306"/>
              </w:tabs>
              <w:overflowPunct/>
              <w:autoSpaceDE/>
              <w:adjustRightInd/>
              <w:jc w:val="both"/>
              <w:textAlignment w:val="auto"/>
              <w:rPr>
                <w:rFonts w:asciiTheme="minorHAnsi" w:hAnsiTheme="minorHAnsi" w:cstheme="minorHAnsi"/>
                <w:i/>
                <w:iCs/>
                <w:szCs w:val="22"/>
              </w:rPr>
            </w:pPr>
            <w:r>
              <w:rPr>
                <w:rFonts w:asciiTheme="minorHAnsi" w:hAnsiTheme="minorHAnsi" w:cstheme="minorHAnsi"/>
                <w:i/>
                <w:iCs/>
                <w:szCs w:val="22"/>
              </w:rPr>
              <w:t xml:space="preserve">‘The negative impact of some commonplace external fixtures on the character of a building is often ignored. These include metre boxes, burglar alarms, security lighting, stair lighting sensors, fixed and manoeuvrable video cameras, air source heat pumps, external central heating and other flues and gas supply pipework. Ill-considered proposals for the location of any of these fixtures or several in combination, particularly on principal facades and on small buildings, can have a particularly deleterious impact. They are only appropriate in visually </w:t>
            </w:r>
            <w:r w:rsidR="001641E5">
              <w:rPr>
                <w:rFonts w:asciiTheme="minorHAnsi" w:hAnsiTheme="minorHAnsi" w:cstheme="minorHAnsi"/>
                <w:i/>
                <w:iCs/>
                <w:szCs w:val="22"/>
              </w:rPr>
              <w:t>unobtrusive</w:t>
            </w:r>
            <w:r>
              <w:rPr>
                <w:rFonts w:asciiTheme="minorHAnsi" w:hAnsiTheme="minorHAnsi" w:cstheme="minorHAnsi"/>
                <w:i/>
                <w:iCs/>
                <w:szCs w:val="22"/>
              </w:rPr>
              <w:t xml:space="preserve"> positions where they do not cause damage to existing surface finishes and avoid any significant element of external architectural detail or decoration.’ </w:t>
            </w:r>
          </w:p>
          <w:p w14:paraId="6911698F" w14:textId="77777777" w:rsidR="0018175C" w:rsidRDefault="0018175C" w:rsidP="005355A8">
            <w:pPr>
              <w:pStyle w:val="Header"/>
              <w:tabs>
                <w:tab w:val="clear" w:pos="4153"/>
                <w:tab w:val="clear" w:pos="8306"/>
              </w:tabs>
              <w:contextualSpacing/>
              <w:jc w:val="both"/>
              <w:rPr>
                <w:rFonts w:ascii="Calibri" w:hAnsi="Calibri"/>
                <w:b/>
                <w:szCs w:val="22"/>
              </w:rPr>
            </w:pPr>
          </w:p>
          <w:p w14:paraId="4002C8C6" w14:textId="2700BA82" w:rsidR="0018175C" w:rsidRDefault="00E46FC7" w:rsidP="005355A8">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development consists of a replacement central heating system, including the removal of the old cylinder, tanks and piping and insertion of a plastic flue pipe to the principal elevation. </w:t>
            </w:r>
          </w:p>
          <w:p w14:paraId="2DCC9154" w14:textId="77777777" w:rsidR="00E46FC7" w:rsidRDefault="00E46FC7" w:rsidP="005355A8">
            <w:pPr>
              <w:pStyle w:val="Header"/>
              <w:tabs>
                <w:tab w:val="clear" w:pos="4153"/>
                <w:tab w:val="clear" w:pos="8306"/>
              </w:tabs>
              <w:contextualSpacing/>
              <w:jc w:val="both"/>
              <w:rPr>
                <w:rFonts w:ascii="Calibri" w:hAnsi="Calibri"/>
                <w:bCs/>
                <w:szCs w:val="22"/>
              </w:rPr>
            </w:pPr>
          </w:p>
          <w:p w14:paraId="6366F777" w14:textId="39D7887F" w:rsidR="00E46FC7" w:rsidRDefault="00E46FC7" w:rsidP="005355A8">
            <w:pPr>
              <w:pStyle w:val="Header"/>
              <w:tabs>
                <w:tab w:val="clear" w:pos="4153"/>
                <w:tab w:val="clear" w:pos="8306"/>
              </w:tabs>
              <w:contextualSpacing/>
              <w:jc w:val="both"/>
              <w:rPr>
                <w:rFonts w:ascii="Calibri" w:hAnsi="Calibri"/>
                <w:bCs/>
                <w:szCs w:val="22"/>
              </w:rPr>
            </w:pPr>
            <w:r>
              <w:rPr>
                <w:rFonts w:ascii="Calibri" w:hAnsi="Calibri"/>
                <w:bCs/>
                <w:szCs w:val="22"/>
              </w:rPr>
              <w:t>The submitted Heritage Statement states the previous central heating system was antiquated and inefficient and as a result, a gas service engineer advised the applicant</w:t>
            </w:r>
            <w:r w:rsidR="00432C92">
              <w:rPr>
                <w:rFonts w:ascii="Calibri" w:hAnsi="Calibri"/>
                <w:bCs/>
                <w:szCs w:val="22"/>
              </w:rPr>
              <w:t xml:space="preserve">/owner </w:t>
            </w:r>
            <w:r>
              <w:rPr>
                <w:rFonts w:ascii="Calibri" w:hAnsi="Calibri"/>
                <w:bCs/>
                <w:szCs w:val="22"/>
              </w:rPr>
              <w:t xml:space="preserve">on the necessity of replacing the existing system with a modern system run from a condenser boiler. </w:t>
            </w:r>
          </w:p>
          <w:p w14:paraId="5D337311" w14:textId="77777777" w:rsidR="00E46FC7" w:rsidRDefault="00E46FC7" w:rsidP="005355A8">
            <w:pPr>
              <w:pStyle w:val="Header"/>
              <w:tabs>
                <w:tab w:val="clear" w:pos="4153"/>
                <w:tab w:val="clear" w:pos="8306"/>
              </w:tabs>
              <w:contextualSpacing/>
              <w:jc w:val="both"/>
              <w:rPr>
                <w:rFonts w:ascii="Calibri" w:hAnsi="Calibri"/>
                <w:bCs/>
                <w:szCs w:val="22"/>
              </w:rPr>
            </w:pPr>
          </w:p>
          <w:p w14:paraId="3026D7D7" w14:textId="572A9B5F" w:rsidR="00E46FC7" w:rsidRPr="009B0C01" w:rsidRDefault="00E46FC7" w:rsidP="005355A8">
            <w:pPr>
              <w:pStyle w:val="Header"/>
              <w:tabs>
                <w:tab w:val="clear" w:pos="4153"/>
                <w:tab w:val="clear" w:pos="8306"/>
              </w:tabs>
              <w:contextualSpacing/>
              <w:jc w:val="both"/>
              <w:rPr>
                <w:rFonts w:ascii="Calibri" w:hAnsi="Calibri"/>
                <w:bCs/>
                <w:color w:val="FF0000"/>
                <w:szCs w:val="22"/>
              </w:rPr>
            </w:pPr>
            <w:r>
              <w:rPr>
                <w:rFonts w:ascii="Calibri" w:hAnsi="Calibri"/>
                <w:bCs/>
                <w:szCs w:val="22"/>
              </w:rPr>
              <w:t xml:space="preserve">No visible alterations are evident to the interior of the dwellinghouse, with the new boiler system occupying the space created by the removal of the previous water tanks and hot-water cylinder. </w:t>
            </w:r>
            <w:r w:rsidRPr="00432C92">
              <w:rPr>
                <w:rFonts w:ascii="Calibri" w:hAnsi="Calibri"/>
                <w:bCs/>
                <w:szCs w:val="22"/>
              </w:rPr>
              <w:t xml:space="preserve">However, an extraction flue has been installed to the principal elevation of the property, situated within the wall between the existing first floor window and neighbouring residential property (no.15 Church Street). </w:t>
            </w:r>
            <w:r w:rsidR="00EA1E32" w:rsidRPr="00432C92">
              <w:rPr>
                <w:rFonts w:ascii="Calibri" w:hAnsi="Calibri"/>
                <w:bCs/>
                <w:szCs w:val="22"/>
              </w:rPr>
              <w:t>Whilst the addition is afforded a high level of visibi</w:t>
            </w:r>
            <w:r w:rsidR="001641E5">
              <w:rPr>
                <w:rFonts w:ascii="Calibri" w:hAnsi="Calibri"/>
                <w:bCs/>
                <w:szCs w:val="22"/>
              </w:rPr>
              <w:t>lity,</w:t>
            </w:r>
            <w:r w:rsidR="00EA1E32" w:rsidRPr="00432C92">
              <w:rPr>
                <w:rFonts w:ascii="Calibri" w:hAnsi="Calibri"/>
                <w:bCs/>
                <w:szCs w:val="22"/>
              </w:rPr>
              <w:t xml:space="preserve"> </w:t>
            </w:r>
            <w:r w:rsidR="004253F4" w:rsidRPr="00432C92">
              <w:rPr>
                <w:rFonts w:ascii="Calibri" w:hAnsi="Calibri"/>
                <w:bCs/>
                <w:szCs w:val="22"/>
              </w:rPr>
              <w:t xml:space="preserve">the applicant notes that all other possible installation points </w:t>
            </w:r>
            <w:r w:rsidR="005B7B95" w:rsidRPr="00432C92">
              <w:rPr>
                <w:rFonts w:ascii="Calibri" w:hAnsi="Calibri"/>
                <w:bCs/>
                <w:szCs w:val="22"/>
              </w:rPr>
              <w:t>failed</w:t>
            </w:r>
            <w:r w:rsidR="004253F4" w:rsidRPr="00432C92">
              <w:rPr>
                <w:rFonts w:ascii="Calibri" w:hAnsi="Calibri"/>
                <w:bCs/>
                <w:szCs w:val="22"/>
              </w:rPr>
              <w:t xml:space="preserve"> to meet regulations and/or were inaccessible</w:t>
            </w:r>
            <w:r w:rsidR="005B7B95" w:rsidRPr="00432C92">
              <w:rPr>
                <w:rFonts w:ascii="Calibri" w:hAnsi="Calibri"/>
                <w:bCs/>
                <w:szCs w:val="22"/>
              </w:rPr>
              <w:t xml:space="preserve"> resulting in the current position being the only appropriate installation point identified by the installer. In addition to this, the flue is relatively modest in size and scale and has avoided any significant element of architectural detail or decoration featured to the front elevation of the property. The installation also comprises a black detailing which minimises its visual impact when viewed from the street scene. </w:t>
            </w:r>
            <w:r w:rsidR="00432C92">
              <w:rPr>
                <w:rFonts w:ascii="Calibri" w:hAnsi="Calibri"/>
                <w:bCs/>
                <w:szCs w:val="22"/>
              </w:rPr>
              <w:t xml:space="preserve">On balance, the flue is considered to have a </w:t>
            </w:r>
            <w:r w:rsidR="00154528">
              <w:rPr>
                <w:rFonts w:ascii="Calibri" w:hAnsi="Calibri"/>
                <w:bCs/>
                <w:szCs w:val="22"/>
              </w:rPr>
              <w:t>neutral</w:t>
            </w:r>
            <w:r w:rsidR="00432C92">
              <w:rPr>
                <w:rFonts w:ascii="Calibri" w:hAnsi="Calibri"/>
                <w:bCs/>
                <w:szCs w:val="22"/>
              </w:rPr>
              <w:t xml:space="preserve"> impact upon the significance of the heritage asset. </w:t>
            </w:r>
          </w:p>
          <w:p w14:paraId="75E8DBC6" w14:textId="77777777" w:rsidR="0018175C" w:rsidRDefault="0018175C" w:rsidP="005355A8">
            <w:pPr>
              <w:pStyle w:val="Header"/>
              <w:tabs>
                <w:tab w:val="clear" w:pos="4153"/>
                <w:tab w:val="clear" w:pos="8306"/>
              </w:tabs>
              <w:contextualSpacing/>
              <w:jc w:val="both"/>
              <w:rPr>
                <w:rFonts w:ascii="Calibri" w:hAnsi="Calibri"/>
                <w:bCs/>
                <w:szCs w:val="22"/>
              </w:rPr>
            </w:pPr>
          </w:p>
          <w:p w14:paraId="1B2934C7" w14:textId="3BE18EA8" w:rsidR="00A25E0D" w:rsidRPr="00C03CFF" w:rsidRDefault="009B0C01" w:rsidP="005355A8">
            <w:pPr>
              <w:tabs>
                <w:tab w:val="center" w:pos="4153"/>
                <w:tab w:val="right" w:pos="8306"/>
              </w:tabs>
              <w:overflowPunct/>
              <w:autoSpaceDE/>
              <w:adjustRightInd/>
              <w:jc w:val="both"/>
              <w:textAlignment w:val="auto"/>
              <w:rPr>
                <w:rFonts w:asciiTheme="minorHAnsi" w:hAnsiTheme="minorHAnsi" w:cstheme="minorHAnsi"/>
                <w:szCs w:val="22"/>
              </w:rPr>
            </w:pPr>
            <w:r>
              <w:rPr>
                <w:rFonts w:ascii="Calibri" w:hAnsi="Calibri"/>
                <w:bCs/>
                <w:szCs w:val="22"/>
              </w:rPr>
              <w:t xml:space="preserve">In view of the above, the </w:t>
            </w:r>
            <w:r w:rsidR="00A25E0D">
              <w:rPr>
                <w:rFonts w:asciiTheme="minorHAnsi" w:hAnsiTheme="minorHAnsi" w:cstheme="minorHAnsi"/>
                <w:szCs w:val="22"/>
              </w:rPr>
              <w:t xml:space="preserve">proposed development does not raise any </w:t>
            </w:r>
            <w:r w:rsidR="00432C92">
              <w:rPr>
                <w:rFonts w:asciiTheme="minorHAnsi" w:hAnsiTheme="minorHAnsi" w:cstheme="minorHAnsi"/>
                <w:szCs w:val="22"/>
              </w:rPr>
              <w:t xml:space="preserve">direct </w:t>
            </w:r>
            <w:r w:rsidR="00A25E0D">
              <w:rPr>
                <w:rFonts w:asciiTheme="minorHAnsi" w:hAnsiTheme="minorHAnsi" w:cstheme="minorHAnsi"/>
                <w:szCs w:val="22"/>
              </w:rPr>
              <w:t>conflict with Key Statement EN5 or Policies DMG1 and DME4 of the Ribble Valley Core Strategy, no</w:t>
            </w:r>
            <w:r w:rsidR="00432C92">
              <w:rPr>
                <w:rFonts w:asciiTheme="minorHAnsi" w:hAnsiTheme="minorHAnsi" w:cstheme="minorHAnsi"/>
                <w:szCs w:val="22"/>
              </w:rPr>
              <w:t>r</w:t>
            </w:r>
            <w:r w:rsidR="00A25E0D">
              <w:rPr>
                <w:rFonts w:asciiTheme="minorHAnsi" w:hAnsiTheme="minorHAnsi" w:cstheme="minorHAnsi"/>
                <w:szCs w:val="22"/>
              </w:rPr>
              <w:t xml:space="preserve"> are there any conflicts with the aims, objectives and requirements of Section 16 and 66 of the Planning (Listed Building and Conservation Areas) Act 1990, nor paragraph 205 of the National Planning Policy Framework. </w:t>
            </w:r>
          </w:p>
          <w:p w14:paraId="0F5F3DB4" w14:textId="36E75BE8" w:rsidR="00A74F22" w:rsidRDefault="00A74F22" w:rsidP="005355A8">
            <w:pPr>
              <w:pStyle w:val="Header"/>
              <w:tabs>
                <w:tab w:val="clear" w:pos="4153"/>
                <w:tab w:val="clear" w:pos="8306"/>
              </w:tabs>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360DDC0"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A25E0D">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0BD00F0" w:rsidR="00C0704D" w:rsidRPr="00D2449B" w:rsidRDefault="00A25E0D" w:rsidP="00CD2CEF">
            <w:pPr>
              <w:rPr>
                <w:rFonts w:ascii="Calibri" w:hAnsi="Calibri"/>
                <w:bCs/>
                <w:szCs w:val="22"/>
              </w:rPr>
            </w:pPr>
            <w:r>
              <w:rPr>
                <w:rFonts w:ascii="Calibri" w:hAnsi="Calibri"/>
                <w:bCs/>
                <w:szCs w:val="22"/>
              </w:rPr>
              <w:t>That Listed Building Consent be 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09005C"/>
    <w:multiLevelType w:val="hybridMultilevel"/>
    <w:tmpl w:val="E0B65862"/>
    <w:lvl w:ilvl="0" w:tplc="279CF272">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A31C74"/>
    <w:multiLevelType w:val="hybridMultilevel"/>
    <w:tmpl w:val="6C30E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144615875">
    <w:abstractNumId w:val="0"/>
  </w:num>
  <w:num w:numId="3" w16cid:durableId="941492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0006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420714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829CA"/>
    <w:rsid w:val="000A6867"/>
    <w:rsid w:val="000B5CB5"/>
    <w:rsid w:val="00130035"/>
    <w:rsid w:val="00132C70"/>
    <w:rsid w:val="00154528"/>
    <w:rsid w:val="001641E5"/>
    <w:rsid w:val="0018175C"/>
    <w:rsid w:val="001C6DB3"/>
    <w:rsid w:val="001D4F7A"/>
    <w:rsid w:val="00250879"/>
    <w:rsid w:val="00282E3A"/>
    <w:rsid w:val="0029334A"/>
    <w:rsid w:val="002954E5"/>
    <w:rsid w:val="00295A61"/>
    <w:rsid w:val="002A01CF"/>
    <w:rsid w:val="002B29DE"/>
    <w:rsid w:val="002C5DEA"/>
    <w:rsid w:val="002C6277"/>
    <w:rsid w:val="002F2580"/>
    <w:rsid w:val="00304251"/>
    <w:rsid w:val="00321B6E"/>
    <w:rsid w:val="00375556"/>
    <w:rsid w:val="003C059B"/>
    <w:rsid w:val="003C5B28"/>
    <w:rsid w:val="00406EBD"/>
    <w:rsid w:val="004253F4"/>
    <w:rsid w:val="00432C92"/>
    <w:rsid w:val="00440CB6"/>
    <w:rsid w:val="0046548C"/>
    <w:rsid w:val="004947BB"/>
    <w:rsid w:val="00497407"/>
    <w:rsid w:val="004A5EA9"/>
    <w:rsid w:val="004C2434"/>
    <w:rsid w:val="004D33DC"/>
    <w:rsid w:val="004E1D72"/>
    <w:rsid w:val="004F0649"/>
    <w:rsid w:val="00510FA2"/>
    <w:rsid w:val="005355A8"/>
    <w:rsid w:val="00556ECD"/>
    <w:rsid w:val="0059215A"/>
    <w:rsid w:val="005B7B95"/>
    <w:rsid w:val="005D0343"/>
    <w:rsid w:val="005E1C6C"/>
    <w:rsid w:val="005E65DF"/>
    <w:rsid w:val="005F1A36"/>
    <w:rsid w:val="00610DE6"/>
    <w:rsid w:val="0062674B"/>
    <w:rsid w:val="00646CE9"/>
    <w:rsid w:val="00692B60"/>
    <w:rsid w:val="00696B04"/>
    <w:rsid w:val="006A71AD"/>
    <w:rsid w:val="006B3337"/>
    <w:rsid w:val="006C2BFA"/>
    <w:rsid w:val="006F6849"/>
    <w:rsid w:val="0070054B"/>
    <w:rsid w:val="00761D2C"/>
    <w:rsid w:val="00773A66"/>
    <w:rsid w:val="00775EFF"/>
    <w:rsid w:val="00776AE2"/>
    <w:rsid w:val="007B3CB4"/>
    <w:rsid w:val="007C791C"/>
    <w:rsid w:val="007D0CEC"/>
    <w:rsid w:val="007D7DF4"/>
    <w:rsid w:val="007E0D23"/>
    <w:rsid w:val="007F16D6"/>
    <w:rsid w:val="00811771"/>
    <w:rsid w:val="00824DB6"/>
    <w:rsid w:val="00837F4F"/>
    <w:rsid w:val="008542DE"/>
    <w:rsid w:val="00877C8F"/>
    <w:rsid w:val="008A28C8"/>
    <w:rsid w:val="009B0C01"/>
    <w:rsid w:val="009C1F22"/>
    <w:rsid w:val="009F4443"/>
    <w:rsid w:val="00A25E0D"/>
    <w:rsid w:val="00A42E82"/>
    <w:rsid w:val="00A579BB"/>
    <w:rsid w:val="00A63D55"/>
    <w:rsid w:val="00A74F22"/>
    <w:rsid w:val="00A95D89"/>
    <w:rsid w:val="00AF2180"/>
    <w:rsid w:val="00AF6831"/>
    <w:rsid w:val="00B5479B"/>
    <w:rsid w:val="00B61C67"/>
    <w:rsid w:val="00B93EB5"/>
    <w:rsid w:val="00B97812"/>
    <w:rsid w:val="00BD3F03"/>
    <w:rsid w:val="00C0704D"/>
    <w:rsid w:val="00C25722"/>
    <w:rsid w:val="00C618DB"/>
    <w:rsid w:val="00D11007"/>
    <w:rsid w:val="00D17EB1"/>
    <w:rsid w:val="00D2449B"/>
    <w:rsid w:val="00D54E67"/>
    <w:rsid w:val="00DB1FA4"/>
    <w:rsid w:val="00DD3288"/>
    <w:rsid w:val="00DD62F6"/>
    <w:rsid w:val="00E46243"/>
    <w:rsid w:val="00E46FC7"/>
    <w:rsid w:val="00E66534"/>
    <w:rsid w:val="00E70027"/>
    <w:rsid w:val="00E72F6C"/>
    <w:rsid w:val="00EA09F9"/>
    <w:rsid w:val="00EA1E32"/>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126204">
      <w:bodyDiv w:val="1"/>
      <w:marLeft w:val="0"/>
      <w:marRight w:val="0"/>
      <w:marTop w:val="0"/>
      <w:marBottom w:val="0"/>
      <w:divBdr>
        <w:top w:val="none" w:sz="0" w:space="0" w:color="auto"/>
        <w:left w:val="none" w:sz="0" w:space="0" w:color="auto"/>
        <w:bottom w:val="none" w:sz="0" w:space="0" w:color="auto"/>
        <w:right w:val="none" w:sz="0" w:space="0" w:color="auto"/>
      </w:divBdr>
    </w:div>
    <w:div w:id="66979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2024-08-23T13:20:00Z</dcterms:created>
  <dcterms:modified xsi:type="dcterms:W3CDTF">2024-08-23T13:20:00Z</dcterms:modified>
</cp:coreProperties>
</file>