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234"/>
        <w:gridCol w:w="447"/>
        <w:gridCol w:w="238"/>
        <w:gridCol w:w="1231"/>
        <w:gridCol w:w="1075"/>
        <w:gridCol w:w="519"/>
        <w:gridCol w:w="579"/>
        <w:gridCol w:w="428"/>
        <w:gridCol w:w="602"/>
        <w:gridCol w:w="1030"/>
        <w:gridCol w:w="1061"/>
      </w:tblGrid>
      <w:tr w:rsidR="008C75E4" w:rsidRPr="008C75E4" w14:paraId="479DFE8D" w14:textId="77777777" w:rsidTr="00665A44">
        <w:trPr>
          <w:jc w:val="center"/>
        </w:trPr>
        <w:tc>
          <w:tcPr>
            <w:tcW w:w="9640" w:type="dxa"/>
            <w:gridSpan w:val="13"/>
            <w:tcMar>
              <w:top w:w="57" w:type="dxa"/>
              <w:bottom w:w="57" w:type="dxa"/>
            </w:tcMar>
          </w:tcPr>
          <w:p w14:paraId="4A4802BE"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4D4BEB" w:rsidRPr="008C75E4" w14:paraId="323A1D9A" w14:textId="77777777" w:rsidTr="00665A44">
        <w:trPr>
          <w:trHeight w:val="535"/>
          <w:jc w:val="center"/>
        </w:trPr>
        <w:tc>
          <w:tcPr>
            <w:tcW w:w="1296" w:type="dxa"/>
            <w:tcMar>
              <w:top w:w="57" w:type="dxa"/>
              <w:bottom w:w="57" w:type="dxa"/>
            </w:tcMar>
          </w:tcPr>
          <w:p w14:paraId="133B44A9" w14:textId="77777777" w:rsidR="004936A6" w:rsidRDefault="004936A6" w:rsidP="00D2449B">
            <w:pPr>
              <w:jc w:val="center"/>
              <w:rPr>
                <w:rFonts w:ascii="Calibri" w:hAnsi="Calibri"/>
                <w:b/>
                <w:szCs w:val="22"/>
              </w:rPr>
            </w:pPr>
            <w:r w:rsidRPr="008C75E4">
              <w:rPr>
                <w:rFonts w:ascii="Calibri" w:hAnsi="Calibri"/>
                <w:b/>
                <w:szCs w:val="22"/>
              </w:rPr>
              <w:t>Signed:</w:t>
            </w:r>
          </w:p>
          <w:p w14:paraId="63C5CE46" w14:textId="77777777" w:rsidR="00454754" w:rsidRPr="008C75E4" w:rsidRDefault="00454754" w:rsidP="00D2449B">
            <w:pPr>
              <w:jc w:val="center"/>
              <w:rPr>
                <w:rFonts w:ascii="Calibri" w:hAnsi="Calibri"/>
                <w:b/>
                <w:szCs w:val="22"/>
              </w:rPr>
            </w:pPr>
          </w:p>
        </w:tc>
        <w:tc>
          <w:tcPr>
            <w:tcW w:w="900" w:type="dxa"/>
          </w:tcPr>
          <w:p w14:paraId="36874D30"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919" w:type="dxa"/>
            <w:gridSpan w:val="3"/>
          </w:tcPr>
          <w:p w14:paraId="7FA90AA4" w14:textId="4351899A" w:rsidR="004936A6" w:rsidRPr="008C75E4" w:rsidRDefault="004D4BEB" w:rsidP="00D2449B">
            <w:pPr>
              <w:jc w:val="center"/>
              <w:rPr>
                <w:rFonts w:ascii="Calibri" w:hAnsi="Calibri"/>
                <w:b/>
                <w:szCs w:val="22"/>
              </w:rPr>
            </w:pPr>
            <w:r>
              <w:rPr>
                <w:rFonts w:ascii="Calibri" w:hAnsi="Calibri"/>
                <w:b/>
                <w:szCs w:val="22"/>
              </w:rPr>
              <w:t>KH</w:t>
            </w:r>
          </w:p>
        </w:tc>
        <w:tc>
          <w:tcPr>
            <w:tcW w:w="1231" w:type="dxa"/>
          </w:tcPr>
          <w:p w14:paraId="130A3E7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75" w:type="dxa"/>
          </w:tcPr>
          <w:p w14:paraId="0B0B7C68" w14:textId="1C2D93C8" w:rsidR="004936A6" w:rsidRPr="008C75E4" w:rsidRDefault="00D95388" w:rsidP="00D2449B">
            <w:pPr>
              <w:jc w:val="center"/>
              <w:rPr>
                <w:rFonts w:ascii="Calibri" w:hAnsi="Calibri"/>
                <w:b/>
                <w:szCs w:val="22"/>
              </w:rPr>
            </w:pPr>
            <w:r>
              <w:rPr>
                <w:rFonts w:ascii="Calibri" w:hAnsi="Calibri"/>
                <w:b/>
                <w:szCs w:val="22"/>
              </w:rPr>
              <w:t>24</w:t>
            </w:r>
            <w:r w:rsidR="004D4BEB">
              <w:rPr>
                <w:rFonts w:ascii="Calibri" w:hAnsi="Calibri"/>
                <w:b/>
                <w:szCs w:val="22"/>
              </w:rPr>
              <w:t>/</w:t>
            </w:r>
            <w:r w:rsidR="004C0B62">
              <w:rPr>
                <w:rFonts w:ascii="Calibri" w:hAnsi="Calibri"/>
                <w:b/>
                <w:szCs w:val="22"/>
              </w:rPr>
              <w:t>02</w:t>
            </w:r>
            <w:r w:rsidR="004D4BEB">
              <w:rPr>
                <w:rFonts w:ascii="Calibri" w:hAnsi="Calibri"/>
                <w:b/>
                <w:szCs w:val="22"/>
              </w:rPr>
              <w:t>/</w:t>
            </w:r>
            <w:r w:rsidR="004B1D18">
              <w:rPr>
                <w:rFonts w:ascii="Calibri" w:hAnsi="Calibri"/>
                <w:b/>
                <w:szCs w:val="22"/>
              </w:rPr>
              <w:t>2</w:t>
            </w:r>
            <w:r w:rsidR="004C0B62">
              <w:rPr>
                <w:rFonts w:ascii="Calibri" w:hAnsi="Calibri"/>
                <w:b/>
                <w:szCs w:val="22"/>
              </w:rPr>
              <w:t>5</w:t>
            </w:r>
          </w:p>
        </w:tc>
        <w:tc>
          <w:tcPr>
            <w:tcW w:w="1098" w:type="dxa"/>
            <w:gridSpan w:val="2"/>
          </w:tcPr>
          <w:p w14:paraId="52B04A18"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501749EB" w14:textId="2571B76A" w:rsidR="004936A6" w:rsidRPr="008C75E4" w:rsidRDefault="00D95388" w:rsidP="00D2449B">
            <w:pPr>
              <w:jc w:val="center"/>
              <w:rPr>
                <w:rFonts w:ascii="Calibri" w:hAnsi="Calibri"/>
                <w:b/>
                <w:szCs w:val="22"/>
              </w:rPr>
            </w:pPr>
            <w:r>
              <w:rPr>
                <w:rFonts w:ascii="Calibri" w:hAnsi="Calibri"/>
                <w:b/>
                <w:szCs w:val="22"/>
              </w:rPr>
              <w:t>LH</w:t>
            </w:r>
          </w:p>
        </w:tc>
        <w:tc>
          <w:tcPr>
            <w:tcW w:w="1030" w:type="dxa"/>
          </w:tcPr>
          <w:p w14:paraId="287B95FD"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2835C7AE" w14:textId="5F3EB1BA" w:rsidR="004936A6" w:rsidRPr="008C75E4" w:rsidRDefault="00D95388" w:rsidP="00D2449B">
            <w:pPr>
              <w:jc w:val="center"/>
              <w:rPr>
                <w:rFonts w:ascii="Calibri" w:hAnsi="Calibri"/>
                <w:b/>
                <w:szCs w:val="22"/>
              </w:rPr>
            </w:pPr>
            <w:r>
              <w:rPr>
                <w:rFonts w:ascii="Calibri" w:hAnsi="Calibri"/>
                <w:b/>
                <w:szCs w:val="22"/>
              </w:rPr>
              <w:t>25/2/25</w:t>
            </w:r>
          </w:p>
        </w:tc>
      </w:tr>
      <w:tr w:rsidR="00E06DFC" w:rsidRPr="008C75E4" w14:paraId="24311AFE" w14:textId="77777777" w:rsidTr="00665A44">
        <w:trPr>
          <w:trHeight w:val="586"/>
          <w:jc w:val="center"/>
        </w:trPr>
        <w:tc>
          <w:tcPr>
            <w:tcW w:w="1296" w:type="dxa"/>
            <w:tcBorders>
              <w:bottom w:val="single" w:sz="4" w:space="0" w:color="BFBFBF" w:themeColor="background1" w:themeShade="BF"/>
            </w:tcBorders>
            <w:tcMar>
              <w:top w:w="57" w:type="dxa"/>
              <w:bottom w:w="57" w:type="dxa"/>
            </w:tcMar>
          </w:tcPr>
          <w:p w14:paraId="7A8E6A0B"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448724AD" w14:textId="77777777" w:rsidR="00E06DFC" w:rsidRPr="008C75E4" w:rsidRDefault="004B1D18" w:rsidP="00D2449B">
            <w:pPr>
              <w:jc w:val="center"/>
              <w:rPr>
                <w:rFonts w:ascii="Calibri" w:hAnsi="Calibri"/>
                <w:b/>
                <w:szCs w:val="22"/>
              </w:rPr>
            </w:pPr>
            <w:r>
              <w:rPr>
                <w:rFonts w:ascii="Calibri" w:hAnsi="Calibri"/>
                <w:b/>
                <w:szCs w:val="22"/>
              </w:rPr>
              <w:t>Y</w:t>
            </w:r>
          </w:p>
        </w:tc>
        <w:tc>
          <w:tcPr>
            <w:tcW w:w="919" w:type="dxa"/>
            <w:gridSpan w:val="3"/>
            <w:tcBorders>
              <w:bottom w:val="single" w:sz="4" w:space="0" w:color="BFBFBF" w:themeColor="background1" w:themeShade="BF"/>
            </w:tcBorders>
          </w:tcPr>
          <w:p w14:paraId="0F96E448" w14:textId="3A7CE1CD" w:rsidR="00E06DFC" w:rsidRPr="008C75E4" w:rsidRDefault="004D4BEB" w:rsidP="00D2449B">
            <w:pPr>
              <w:jc w:val="center"/>
              <w:rPr>
                <w:rFonts w:ascii="Calibri" w:hAnsi="Calibri"/>
                <w:b/>
                <w:szCs w:val="22"/>
              </w:rPr>
            </w:pPr>
            <w:r>
              <w:rPr>
                <w:rFonts w:ascii="Calibri" w:hAnsi="Calibri"/>
                <w:b/>
                <w:szCs w:val="22"/>
              </w:rPr>
              <w:t>Pub Expired</w:t>
            </w:r>
          </w:p>
        </w:tc>
        <w:tc>
          <w:tcPr>
            <w:tcW w:w="1231" w:type="dxa"/>
            <w:tcBorders>
              <w:bottom w:val="single" w:sz="4" w:space="0" w:color="BFBFBF" w:themeColor="background1" w:themeShade="BF"/>
            </w:tcBorders>
          </w:tcPr>
          <w:p w14:paraId="2AC0530F" w14:textId="449699BD" w:rsidR="00E06DFC" w:rsidRPr="008C75E4" w:rsidRDefault="00665A44" w:rsidP="00D2449B">
            <w:pPr>
              <w:jc w:val="center"/>
              <w:rPr>
                <w:rFonts w:ascii="Calibri" w:hAnsi="Calibri"/>
                <w:b/>
                <w:szCs w:val="22"/>
              </w:rPr>
            </w:pPr>
            <w:r>
              <w:rPr>
                <w:rFonts w:ascii="Calibri" w:hAnsi="Calibri"/>
                <w:b/>
                <w:szCs w:val="22"/>
              </w:rPr>
              <w:t>18</w:t>
            </w:r>
            <w:r w:rsidR="004D4BEB">
              <w:rPr>
                <w:rFonts w:ascii="Calibri" w:hAnsi="Calibri"/>
                <w:b/>
                <w:szCs w:val="22"/>
              </w:rPr>
              <w:t>/</w:t>
            </w:r>
            <w:r>
              <w:rPr>
                <w:rFonts w:ascii="Calibri" w:hAnsi="Calibri"/>
                <w:b/>
                <w:szCs w:val="22"/>
              </w:rPr>
              <w:t>1</w:t>
            </w:r>
            <w:r w:rsidR="004D4BEB">
              <w:rPr>
                <w:rFonts w:ascii="Calibri" w:hAnsi="Calibri"/>
                <w:b/>
                <w:szCs w:val="22"/>
              </w:rPr>
              <w:t>0/2</w:t>
            </w:r>
            <w:r>
              <w:rPr>
                <w:rFonts w:ascii="Calibri" w:hAnsi="Calibri"/>
                <w:b/>
                <w:szCs w:val="22"/>
              </w:rPr>
              <w:t>4</w:t>
            </w:r>
          </w:p>
        </w:tc>
        <w:tc>
          <w:tcPr>
            <w:tcW w:w="5294" w:type="dxa"/>
            <w:gridSpan w:val="7"/>
            <w:tcBorders>
              <w:bottom w:val="single" w:sz="4" w:space="0" w:color="BFBFBF" w:themeColor="background1" w:themeShade="BF"/>
            </w:tcBorders>
          </w:tcPr>
          <w:p w14:paraId="2F3F2311" w14:textId="77777777" w:rsidR="00E06DFC" w:rsidRPr="008C75E4" w:rsidRDefault="00E06DFC" w:rsidP="00D2449B">
            <w:pPr>
              <w:jc w:val="center"/>
              <w:rPr>
                <w:rFonts w:ascii="Calibri" w:hAnsi="Calibri"/>
                <w:b/>
                <w:szCs w:val="22"/>
              </w:rPr>
            </w:pPr>
          </w:p>
        </w:tc>
      </w:tr>
      <w:tr w:rsidR="008C75E4" w:rsidRPr="008C75E4" w14:paraId="1B5F1DF8" w14:textId="77777777" w:rsidTr="00665A44">
        <w:trPr>
          <w:jc w:val="center"/>
        </w:trPr>
        <w:tc>
          <w:tcPr>
            <w:tcW w:w="9640" w:type="dxa"/>
            <w:gridSpan w:val="13"/>
            <w:tcBorders>
              <w:left w:val="nil"/>
              <w:right w:val="nil"/>
            </w:tcBorders>
            <w:tcMar>
              <w:top w:w="57" w:type="dxa"/>
              <w:bottom w:w="57" w:type="dxa"/>
            </w:tcMar>
          </w:tcPr>
          <w:p w14:paraId="0AE5579F" w14:textId="77777777" w:rsidR="004A5EA9" w:rsidRPr="008C75E4" w:rsidRDefault="004A5EA9" w:rsidP="004A5EA9">
            <w:pPr>
              <w:jc w:val="center"/>
              <w:rPr>
                <w:rFonts w:ascii="Calibri" w:hAnsi="Calibri"/>
                <w:b/>
                <w:szCs w:val="22"/>
              </w:rPr>
            </w:pPr>
          </w:p>
        </w:tc>
      </w:tr>
      <w:tr w:rsidR="008C75E4" w:rsidRPr="008C75E4" w14:paraId="6415D977" w14:textId="77777777" w:rsidTr="00665A44">
        <w:trPr>
          <w:jc w:val="center"/>
        </w:trPr>
        <w:tc>
          <w:tcPr>
            <w:tcW w:w="2430" w:type="dxa"/>
            <w:gridSpan w:val="3"/>
            <w:tcMar>
              <w:top w:w="57" w:type="dxa"/>
              <w:bottom w:w="57" w:type="dxa"/>
            </w:tcMar>
          </w:tcPr>
          <w:p w14:paraId="2B0D7735" w14:textId="77777777" w:rsidR="004A5EA9" w:rsidRPr="008C75E4" w:rsidRDefault="004A5EA9">
            <w:pPr>
              <w:rPr>
                <w:rFonts w:ascii="Calibri" w:hAnsi="Calibri"/>
                <w:b/>
                <w:szCs w:val="22"/>
              </w:rPr>
            </w:pPr>
            <w:r w:rsidRPr="008C75E4">
              <w:rPr>
                <w:rFonts w:ascii="Calibri" w:hAnsi="Calibri"/>
                <w:b/>
                <w:szCs w:val="22"/>
              </w:rPr>
              <w:t>Application Ref:</w:t>
            </w:r>
          </w:p>
        </w:tc>
        <w:tc>
          <w:tcPr>
            <w:tcW w:w="3510" w:type="dxa"/>
            <w:gridSpan w:val="5"/>
          </w:tcPr>
          <w:p w14:paraId="3EA2E400" w14:textId="75DA8322" w:rsidR="004A5EA9" w:rsidRPr="008C75E4" w:rsidRDefault="004B1D18" w:rsidP="008F6B58">
            <w:pPr>
              <w:rPr>
                <w:rFonts w:ascii="Calibri" w:hAnsi="Calibri"/>
                <w:szCs w:val="22"/>
              </w:rPr>
            </w:pPr>
            <w:r>
              <w:rPr>
                <w:rFonts w:ascii="Calibri" w:hAnsi="Calibri"/>
                <w:szCs w:val="22"/>
              </w:rPr>
              <w:t>3/202</w:t>
            </w:r>
            <w:r w:rsidR="00665A44">
              <w:rPr>
                <w:rFonts w:ascii="Calibri" w:hAnsi="Calibri"/>
                <w:szCs w:val="22"/>
              </w:rPr>
              <w:t>4</w:t>
            </w:r>
            <w:r>
              <w:rPr>
                <w:rFonts w:ascii="Calibri" w:hAnsi="Calibri"/>
                <w:szCs w:val="22"/>
              </w:rPr>
              <w:t>/0</w:t>
            </w:r>
            <w:r w:rsidR="00665A44">
              <w:rPr>
                <w:rFonts w:ascii="Calibri" w:hAnsi="Calibri"/>
                <w:szCs w:val="22"/>
              </w:rPr>
              <w:t>4</w:t>
            </w:r>
            <w:r w:rsidR="004D4BEB">
              <w:rPr>
                <w:rFonts w:ascii="Calibri" w:hAnsi="Calibri"/>
                <w:szCs w:val="22"/>
              </w:rPr>
              <w:t>84</w:t>
            </w:r>
          </w:p>
        </w:tc>
        <w:tc>
          <w:tcPr>
            <w:tcW w:w="3700" w:type="dxa"/>
            <w:gridSpan w:val="5"/>
            <w:vMerge w:val="restart"/>
            <w:tcMar>
              <w:top w:w="57" w:type="dxa"/>
              <w:bottom w:w="57" w:type="dxa"/>
            </w:tcMar>
          </w:tcPr>
          <w:p w14:paraId="0A11B33D"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B66350F" wp14:editId="3B0E33E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47489A50" w14:textId="77777777" w:rsidTr="00665A44">
        <w:trPr>
          <w:jc w:val="center"/>
        </w:trPr>
        <w:tc>
          <w:tcPr>
            <w:tcW w:w="2430" w:type="dxa"/>
            <w:gridSpan w:val="3"/>
            <w:tcMar>
              <w:top w:w="57" w:type="dxa"/>
              <w:bottom w:w="57" w:type="dxa"/>
            </w:tcMar>
          </w:tcPr>
          <w:p w14:paraId="35448DD0" w14:textId="77777777" w:rsidR="004A5EA9" w:rsidRPr="008C75E4" w:rsidRDefault="004A5EA9">
            <w:pPr>
              <w:rPr>
                <w:rFonts w:ascii="Calibri" w:hAnsi="Calibri"/>
                <w:b/>
                <w:szCs w:val="22"/>
              </w:rPr>
            </w:pPr>
            <w:r w:rsidRPr="008C75E4">
              <w:rPr>
                <w:rFonts w:ascii="Calibri" w:hAnsi="Calibri"/>
                <w:b/>
                <w:szCs w:val="22"/>
              </w:rPr>
              <w:t>Date Inspected:</w:t>
            </w:r>
          </w:p>
        </w:tc>
        <w:tc>
          <w:tcPr>
            <w:tcW w:w="3510" w:type="dxa"/>
            <w:gridSpan w:val="5"/>
          </w:tcPr>
          <w:p w14:paraId="22012767" w14:textId="6949C490" w:rsidR="004A5EA9" w:rsidRPr="008C75E4" w:rsidRDefault="00665A44" w:rsidP="002C6277">
            <w:pPr>
              <w:rPr>
                <w:rFonts w:ascii="Calibri" w:hAnsi="Calibri"/>
                <w:szCs w:val="22"/>
              </w:rPr>
            </w:pPr>
            <w:r>
              <w:rPr>
                <w:rFonts w:ascii="Calibri" w:hAnsi="Calibri"/>
                <w:szCs w:val="22"/>
              </w:rPr>
              <w:t>27</w:t>
            </w:r>
            <w:r w:rsidRPr="00665A44">
              <w:rPr>
                <w:rFonts w:ascii="Calibri" w:hAnsi="Calibri"/>
                <w:szCs w:val="22"/>
                <w:vertAlign w:val="superscript"/>
              </w:rPr>
              <w:t>th</w:t>
            </w:r>
            <w:r>
              <w:rPr>
                <w:rFonts w:ascii="Calibri" w:hAnsi="Calibri"/>
                <w:szCs w:val="22"/>
              </w:rPr>
              <w:t xml:space="preserve"> September</w:t>
            </w:r>
            <w:r w:rsidR="004D4BEB">
              <w:rPr>
                <w:rFonts w:ascii="Calibri" w:hAnsi="Calibri"/>
                <w:szCs w:val="22"/>
              </w:rPr>
              <w:t>, 202</w:t>
            </w:r>
            <w:r>
              <w:rPr>
                <w:rFonts w:ascii="Calibri" w:hAnsi="Calibri"/>
                <w:szCs w:val="22"/>
              </w:rPr>
              <w:t>4</w:t>
            </w:r>
          </w:p>
        </w:tc>
        <w:tc>
          <w:tcPr>
            <w:tcW w:w="3700" w:type="dxa"/>
            <w:gridSpan w:val="5"/>
            <w:vMerge/>
            <w:tcMar>
              <w:top w:w="57" w:type="dxa"/>
              <w:bottom w:w="57" w:type="dxa"/>
            </w:tcMar>
          </w:tcPr>
          <w:p w14:paraId="21514ECC" w14:textId="77777777" w:rsidR="004A5EA9" w:rsidRPr="008C75E4" w:rsidRDefault="004A5EA9">
            <w:pPr>
              <w:rPr>
                <w:rFonts w:ascii="Calibri" w:hAnsi="Calibri"/>
                <w:szCs w:val="22"/>
              </w:rPr>
            </w:pPr>
          </w:p>
        </w:tc>
      </w:tr>
      <w:tr w:rsidR="008C75E4" w:rsidRPr="008C75E4" w14:paraId="664660E2" w14:textId="77777777" w:rsidTr="00665A44">
        <w:trPr>
          <w:jc w:val="center"/>
        </w:trPr>
        <w:tc>
          <w:tcPr>
            <w:tcW w:w="2430" w:type="dxa"/>
            <w:gridSpan w:val="3"/>
            <w:tcMar>
              <w:top w:w="57" w:type="dxa"/>
              <w:bottom w:w="57" w:type="dxa"/>
            </w:tcMar>
          </w:tcPr>
          <w:p w14:paraId="4754BD5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510" w:type="dxa"/>
            <w:gridSpan w:val="5"/>
          </w:tcPr>
          <w:p w14:paraId="18F16B82" w14:textId="4CBE1B71" w:rsidR="004A5EA9" w:rsidRPr="00454754" w:rsidRDefault="004D4BEB" w:rsidP="00811771">
            <w:pPr>
              <w:rPr>
                <w:rFonts w:ascii="Calibri" w:hAnsi="Calibri"/>
                <w:b/>
                <w:szCs w:val="22"/>
              </w:rPr>
            </w:pPr>
            <w:r>
              <w:rPr>
                <w:rFonts w:ascii="Calibri" w:hAnsi="Calibri"/>
                <w:b/>
                <w:szCs w:val="22"/>
              </w:rPr>
              <w:t>KH</w:t>
            </w:r>
          </w:p>
        </w:tc>
        <w:tc>
          <w:tcPr>
            <w:tcW w:w="3700" w:type="dxa"/>
            <w:gridSpan w:val="5"/>
            <w:vMerge/>
            <w:tcMar>
              <w:top w:w="57" w:type="dxa"/>
              <w:bottom w:w="57" w:type="dxa"/>
            </w:tcMar>
          </w:tcPr>
          <w:p w14:paraId="00B62216" w14:textId="77777777" w:rsidR="004A5EA9" w:rsidRPr="008C75E4" w:rsidRDefault="004A5EA9">
            <w:pPr>
              <w:rPr>
                <w:rFonts w:ascii="Calibri" w:hAnsi="Calibri"/>
                <w:szCs w:val="22"/>
              </w:rPr>
            </w:pPr>
          </w:p>
        </w:tc>
      </w:tr>
      <w:tr w:rsidR="00FD334A" w:rsidRPr="008C75E4" w14:paraId="110B3479" w14:textId="77777777" w:rsidTr="00665A44">
        <w:trPr>
          <w:jc w:val="center"/>
        </w:trPr>
        <w:tc>
          <w:tcPr>
            <w:tcW w:w="5940" w:type="dxa"/>
            <w:gridSpan w:val="8"/>
            <w:tcBorders>
              <w:bottom w:val="single" w:sz="4" w:space="0" w:color="BFBFBF" w:themeColor="background1" w:themeShade="BF"/>
            </w:tcBorders>
            <w:tcMar>
              <w:top w:w="57" w:type="dxa"/>
              <w:bottom w:w="57" w:type="dxa"/>
            </w:tcMar>
          </w:tcPr>
          <w:p w14:paraId="34FFB57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50E162B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1958B3A" w14:textId="21C86BF5" w:rsidR="00FD334A" w:rsidRPr="008C75E4" w:rsidRDefault="004F2E7B" w:rsidP="00FD334A">
            <w:pPr>
              <w:rPr>
                <w:rFonts w:ascii="Calibri" w:hAnsi="Calibri"/>
                <w:b/>
                <w:szCs w:val="22"/>
              </w:rPr>
            </w:pPr>
            <w:r>
              <w:rPr>
                <w:rFonts w:ascii="Calibri" w:hAnsi="Calibri"/>
                <w:b/>
                <w:szCs w:val="22"/>
              </w:rPr>
              <w:t>APPROVAL</w:t>
            </w:r>
          </w:p>
        </w:tc>
      </w:tr>
      <w:tr w:rsidR="008C75E4" w:rsidRPr="008C75E4" w14:paraId="7BE52B94" w14:textId="77777777" w:rsidTr="00665A44">
        <w:trPr>
          <w:trHeight w:hRule="exact" w:val="144"/>
          <w:jc w:val="center"/>
        </w:trPr>
        <w:tc>
          <w:tcPr>
            <w:tcW w:w="9640" w:type="dxa"/>
            <w:gridSpan w:val="13"/>
            <w:tcBorders>
              <w:left w:val="nil"/>
              <w:right w:val="nil"/>
            </w:tcBorders>
            <w:tcMar>
              <w:top w:w="57" w:type="dxa"/>
              <w:bottom w:w="57" w:type="dxa"/>
            </w:tcMar>
          </w:tcPr>
          <w:p w14:paraId="75E8B7EE" w14:textId="77777777" w:rsidR="004A5EA9" w:rsidRPr="00504440" w:rsidRDefault="004A5EA9" w:rsidP="007E0D23">
            <w:pPr>
              <w:tabs>
                <w:tab w:val="left" w:pos="4007"/>
              </w:tabs>
              <w:rPr>
                <w:rFonts w:ascii="Calibri" w:hAnsi="Calibri"/>
                <w:b/>
                <w:sz w:val="4"/>
                <w:szCs w:val="4"/>
              </w:rPr>
            </w:pPr>
          </w:p>
        </w:tc>
      </w:tr>
      <w:tr w:rsidR="008C75E4" w:rsidRPr="008C75E4" w14:paraId="2B4E3B98" w14:textId="77777777" w:rsidTr="00665A44">
        <w:trPr>
          <w:jc w:val="center"/>
        </w:trPr>
        <w:tc>
          <w:tcPr>
            <w:tcW w:w="3115" w:type="dxa"/>
            <w:gridSpan w:val="5"/>
            <w:tcMar>
              <w:top w:w="57" w:type="dxa"/>
              <w:bottom w:w="57" w:type="dxa"/>
            </w:tcMar>
          </w:tcPr>
          <w:p w14:paraId="21C5D25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525" w:type="dxa"/>
            <w:gridSpan w:val="8"/>
          </w:tcPr>
          <w:p w14:paraId="3D240E88" w14:textId="67346FA9" w:rsidR="004A5EA9" w:rsidRPr="008C75E4" w:rsidRDefault="004B1D18">
            <w:pPr>
              <w:rPr>
                <w:rFonts w:ascii="Calibri" w:hAnsi="Calibri"/>
                <w:szCs w:val="22"/>
              </w:rPr>
            </w:pPr>
            <w:r w:rsidRPr="004B1D18">
              <w:rPr>
                <w:rFonts w:ascii="Calibri" w:hAnsi="Calibri"/>
                <w:szCs w:val="22"/>
              </w:rPr>
              <w:t xml:space="preserve">Proposed </w:t>
            </w:r>
            <w:r w:rsidR="00665A44">
              <w:rPr>
                <w:rFonts w:ascii="Calibri" w:hAnsi="Calibri"/>
                <w:szCs w:val="22"/>
              </w:rPr>
              <w:t xml:space="preserve">demolition of existing warehouse structure and erection of two separate blocks of industrial units (Use Class B2/B8) comprising one block of five units, each with mezzanine floor and one block of two units each with a mezzanine floor, including </w:t>
            </w:r>
            <w:r w:rsidR="004D4BEB">
              <w:rPr>
                <w:rFonts w:ascii="Calibri" w:hAnsi="Calibri"/>
                <w:szCs w:val="22"/>
              </w:rPr>
              <w:t>a</w:t>
            </w:r>
            <w:r w:rsidR="00665A44">
              <w:rPr>
                <w:rFonts w:ascii="Calibri" w:hAnsi="Calibri"/>
                <w:szCs w:val="22"/>
              </w:rPr>
              <w:t>ssociated car parking and service yard</w:t>
            </w:r>
            <w:r w:rsidR="004D4BEB">
              <w:rPr>
                <w:rFonts w:ascii="Calibri" w:hAnsi="Calibri"/>
                <w:szCs w:val="22"/>
              </w:rPr>
              <w:t>.</w:t>
            </w:r>
          </w:p>
        </w:tc>
      </w:tr>
      <w:tr w:rsidR="008C75E4" w:rsidRPr="008C75E4" w14:paraId="0FF47F3C" w14:textId="77777777" w:rsidTr="00665A44">
        <w:trPr>
          <w:jc w:val="center"/>
        </w:trPr>
        <w:tc>
          <w:tcPr>
            <w:tcW w:w="3115" w:type="dxa"/>
            <w:gridSpan w:val="5"/>
            <w:tcBorders>
              <w:bottom w:val="single" w:sz="4" w:space="0" w:color="BFBFBF" w:themeColor="background1" w:themeShade="BF"/>
            </w:tcBorders>
            <w:tcMar>
              <w:top w:w="57" w:type="dxa"/>
              <w:bottom w:w="57" w:type="dxa"/>
            </w:tcMar>
          </w:tcPr>
          <w:p w14:paraId="7350F4E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525" w:type="dxa"/>
            <w:gridSpan w:val="8"/>
            <w:tcBorders>
              <w:bottom w:val="single" w:sz="4" w:space="0" w:color="BFBFBF" w:themeColor="background1" w:themeShade="BF"/>
            </w:tcBorders>
          </w:tcPr>
          <w:p w14:paraId="03D14FF1" w14:textId="73B50246" w:rsidR="002A01CF" w:rsidRPr="008C75E4" w:rsidRDefault="00665A44" w:rsidP="00A42E82">
            <w:pPr>
              <w:rPr>
                <w:rFonts w:ascii="Calibri" w:hAnsi="Calibri"/>
                <w:szCs w:val="22"/>
              </w:rPr>
            </w:pPr>
            <w:r>
              <w:rPr>
                <w:rFonts w:ascii="Calibri" w:hAnsi="Calibri"/>
                <w:szCs w:val="22"/>
              </w:rPr>
              <w:t>Ramsgreave Bakery, Pleckgate Road, Ramsgreave</w:t>
            </w:r>
            <w:r w:rsidR="00CC1B36" w:rsidRPr="00CC1B36">
              <w:rPr>
                <w:rFonts w:ascii="Calibri" w:hAnsi="Calibri"/>
                <w:szCs w:val="22"/>
              </w:rPr>
              <w:t xml:space="preserve"> BB</w:t>
            </w:r>
            <w:r>
              <w:rPr>
                <w:rFonts w:ascii="Calibri" w:hAnsi="Calibri"/>
                <w:szCs w:val="22"/>
              </w:rPr>
              <w:t>1 8QW</w:t>
            </w:r>
          </w:p>
        </w:tc>
      </w:tr>
      <w:tr w:rsidR="008C75E4" w:rsidRPr="008C75E4" w14:paraId="74E7E85D" w14:textId="77777777" w:rsidTr="00665A44">
        <w:trPr>
          <w:trHeight w:hRule="exact" w:val="144"/>
          <w:jc w:val="center"/>
        </w:trPr>
        <w:tc>
          <w:tcPr>
            <w:tcW w:w="9640" w:type="dxa"/>
            <w:gridSpan w:val="13"/>
            <w:tcBorders>
              <w:left w:val="nil"/>
              <w:right w:val="nil"/>
            </w:tcBorders>
            <w:tcMar>
              <w:top w:w="57" w:type="dxa"/>
              <w:bottom w:w="57" w:type="dxa"/>
            </w:tcMar>
          </w:tcPr>
          <w:p w14:paraId="31C1DA7E" w14:textId="77777777" w:rsidR="00A95D89" w:rsidRPr="00504440" w:rsidRDefault="00A95D89" w:rsidP="007E0D23">
            <w:pPr>
              <w:tabs>
                <w:tab w:val="left" w:pos="2667"/>
              </w:tabs>
              <w:rPr>
                <w:rFonts w:ascii="Calibri" w:hAnsi="Calibri"/>
                <w:b/>
                <w:sz w:val="4"/>
                <w:szCs w:val="4"/>
              </w:rPr>
            </w:pPr>
          </w:p>
        </w:tc>
      </w:tr>
      <w:tr w:rsidR="008C75E4" w:rsidRPr="008C75E4" w14:paraId="1DE0998D" w14:textId="77777777" w:rsidTr="00665A44">
        <w:trPr>
          <w:jc w:val="center"/>
        </w:trPr>
        <w:tc>
          <w:tcPr>
            <w:tcW w:w="3115" w:type="dxa"/>
            <w:gridSpan w:val="5"/>
            <w:tcMar>
              <w:top w:w="57" w:type="dxa"/>
              <w:bottom w:w="57" w:type="dxa"/>
            </w:tcMar>
          </w:tcPr>
          <w:p w14:paraId="7FCA3AC2"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525" w:type="dxa"/>
            <w:gridSpan w:val="8"/>
          </w:tcPr>
          <w:p w14:paraId="0C3D11CD"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A9859CA" w14:textId="77777777" w:rsidTr="00665A44">
        <w:trPr>
          <w:jc w:val="center"/>
        </w:trPr>
        <w:tc>
          <w:tcPr>
            <w:tcW w:w="9640" w:type="dxa"/>
            <w:gridSpan w:val="13"/>
            <w:tcBorders>
              <w:bottom w:val="single" w:sz="4" w:space="0" w:color="BFBFBF" w:themeColor="background1" w:themeShade="BF"/>
            </w:tcBorders>
            <w:tcMar>
              <w:top w:w="57" w:type="dxa"/>
              <w:bottom w:w="57" w:type="dxa"/>
            </w:tcMar>
          </w:tcPr>
          <w:p w14:paraId="4C6F72EA" w14:textId="7B78DC76" w:rsidR="003A4376" w:rsidRPr="009825FF" w:rsidRDefault="00760861" w:rsidP="009825FF">
            <w:pPr>
              <w:jc w:val="both"/>
              <w:rPr>
                <w:rFonts w:ascii="Calibri" w:hAnsi="Calibri"/>
                <w:szCs w:val="22"/>
              </w:rPr>
            </w:pPr>
            <w:r>
              <w:rPr>
                <w:rFonts w:ascii="Calibri" w:hAnsi="Calibri"/>
                <w:szCs w:val="22"/>
              </w:rPr>
              <w:t>None</w:t>
            </w:r>
          </w:p>
        </w:tc>
      </w:tr>
      <w:tr w:rsidR="008C75E4" w:rsidRPr="008C75E4" w14:paraId="7721AD09" w14:textId="77777777" w:rsidTr="00665A44">
        <w:trPr>
          <w:trHeight w:hRule="exact" w:val="144"/>
          <w:jc w:val="center"/>
        </w:trPr>
        <w:tc>
          <w:tcPr>
            <w:tcW w:w="9640" w:type="dxa"/>
            <w:gridSpan w:val="13"/>
            <w:tcBorders>
              <w:left w:val="nil"/>
              <w:right w:val="nil"/>
            </w:tcBorders>
            <w:tcMar>
              <w:top w:w="57" w:type="dxa"/>
              <w:bottom w:w="57" w:type="dxa"/>
            </w:tcMar>
          </w:tcPr>
          <w:p w14:paraId="71B991F7" w14:textId="77777777" w:rsidR="00C618DB" w:rsidRPr="00504440" w:rsidRDefault="00C618DB" w:rsidP="006126D1">
            <w:pPr>
              <w:jc w:val="both"/>
              <w:rPr>
                <w:rFonts w:ascii="Calibri" w:hAnsi="Calibri"/>
                <w:bCs/>
                <w:sz w:val="4"/>
                <w:szCs w:val="4"/>
              </w:rPr>
            </w:pPr>
          </w:p>
        </w:tc>
      </w:tr>
      <w:tr w:rsidR="008C75E4" w:rsidRPr="008C75E4" w14:paraId="47D6677C" w14:textId="77777777" w:rsidTr="00665A44">
        <w:trPr>
          <w:jc w:val="center"/>
        </w:trPr>
        <w:tc>
          <w:tcPr>
            <w:tcW w:w="3115" w:type="dxa"/>
            <w:gridSpan w:val="5"/>
            <w:tcMar>
              <w:top w:w="57" w:type="dxa"/>
              <w:bottom w:w="57" w:type="dxa"/>
            </w:tcMar>
          </w:tcPr>
          <w:p w14:paraId="61F8194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525" w:type="dxa"/>
            <w:gridSpan w:val="8"/>
          </w:tcPr>
          <w:p w14:paraId="05EF492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CDA91D4" w14:textId="77777777" w:rsidTr="00665A44">
        <w:trPr>
          <w:jc w:val="center"/>
        </w:trPr>
        <w:tc>
          <w:tcPr>
            <w:tcW w:w="3115" w:type="dxa"/>
            <w:gridSpan w:val="5"/>
            <w:tcMar>
              <w:top w:w="57" w:type="dxa"/>
              <w:bottom w:w="57" w:type="dxa"/>
            </w:tcMar>
          </w:tcPr>
          <w:p w14:paraId="074CE5BA"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525" w:type="dxa"/>
            <w:gridSpan w:val="8"/>
          </w:tcPr>
          <w:p w14:paraId="2C15D6B4" w14:textId="02CB25D0" w:rsidR="002A01CF" w:rsidRPr="00FA48EB" w:rsidRDefault="00CE2D95" w:rsidP="006126D1">
            <w:pPr>
              <w:jc w:val="both"/>
              <w:rPr>
                <w:rFonts w:ascii="Calibri" w:hAnsi="Calibri"/>
                <w:szCs w:val="22"/>
              </w:rPr>
            </w:pPr>
            <w:r>
              <w:rPr>
                <w:rFonts w:ascii="Calibri" w:hAnsi="Calibri"/>
                <w:szCs w:val="22"/>
              </w:rPr>
              <w:t xml:space="preserve"> </w:t>
            </w:r>
            <w:r w:rsidR="00760861">
              <w:rPr>
                <w:rFonts w:ascii="Calibri" w:hAnsi="Calibri"/>
                <w:szCs w:val="22"/>
              </w:rPr>
              <w:t>No objection subject to conditions</w:t>
            </w:r>
          </w:p>
        </w:tc>
      </w:tr>
      <w:tr w:rsidR="00FA48EB" w:rsidRPr="008C75E4" w14:paraId="50CD0E4F" w14:textId="77777777" w:rsidTr="00665A44">
        <w:trPr>
          <w:jc w:val="center"/>
        </w:trPr>
        <w:tc>
          <w:tcPr>
            <w:tcW w:w="3115" w:type="dxa"/>
            <w:gridSpan w:val="5"/>
            <w:tcMar>
              <w:top w:w="57" w:type="dxa"/>
              <w:bottom w:w="57" w:type="dxa"/>
            </w:tcMar>
          </w:tcPr>
          <w:p w14:paraId="0746221D" w14:textId="77777777" w:rsidR="00FA48EB" w:rsidRDefault="00DB61F7" w:rsidP="006126D1">
            <w:pPr>
              <w:jc w:val="both"/>
              <w:rPr>
                <w:rFonts w:ascii="Calibri" w:hAnsi="Calibri"/>
                <w:b/>
                <w:szCs w:val="22"/>
              </w:rPr>
            </w:pPr>
            <w:r>
              <w:rPr>
                <w:rFonts w:ascii="Calibri" w:hAnsi="Calibri"/>
                <w:b/>
                <w:szCs w:val="22"/>
              </w:rPr>
              <w:t>United Utilities:</w:t>
            </w:r>
          </w:p>
        </w:tc>
        <w:tc>
          <w:tcPr>
            <w:tcW w:w="6525" w:type="dxa"/>
            <w:gridSpan w:val="8"/>
          </w:tcPr>
          <w:p w14:paraId="2897560E" w14:textId="46764254" w:rsidR="00FA48EB" w:rsidRPr="00DB61F7" w:rsidRDefault="00C473E6" w:rsidP="006126D1">
            <w:pPr>
              <w:jc w:val="both"/>
              <w:rPr>
                <w:rFonts w:ascii="Calibri" w:hAnsi="Calibri"/>
                <w:szCs w:val="22"/>
              </w:rPr>
            </w:pPr>
            <w:r>
              <w:rPr>
                <w:rFonts w:ascii="Calibri" w:hAnsi="Calibri"/>
                <w:szCs w:val="22"/>
              </w:rPr>
              <w:t xml:space="preserve">We request that the applicant provides a detailed drainage plan prior to determination.  Should planning permission be granted without this information we request a condition attached to any subsequent decision notice. </w:t>
            </w:r>
          </w:p>
        </w:tc>
      </w:tr>
      <w:tr w:rsidR="004F186B" w:rsidRPr="008C75E4" w14:paraId="4C0563F0" w14:textId="77777777" w:rsidTr="00665A44">
        <w:trPr>
          <w:jc w:val="center"/>
        </w:trPr>
        <w:tc>
          <w:tcPr>
            <w:tcW w:w="3115" w:type="dxa"/>
            <w:gridSpan w:val="5"/>
            <w:tcMar>
              <w:top w:w="57" w:type="dxa"/>
              <w:bottom w:w="57" w:type="dxa"/>
            </w:tcMar>
          </w:tcPr>
          <w:p w14:paraId="7523EF75" w14:textId="3D27BEFD" w:rsidR="004F186B" w:rsidRDefault="00665A44" w:rsidP="006126D1">
            <w:pPr>
              <w:jc w:val="both"/>
              <w:rPr>
                <w:rFonts w:ascii="Calibri" w:hAnsi="Calibri"/>
                <w:b/>
                <w:szCs w:val="22"/>
              </w:rPr>
            </w:pPr>
            <w:r>
              <w:rPr>
                <w:rFonts w:ascii="Calibri" w:hAnsi="Calibri"/>
                <w:b/>
                <w:szCs w:val="22"/>
              </w:rPr>
              <w:t>Blackburn with Darwen</w:t>
            </w:r>
            <w:r w:rsidR="00760861">
              <w:rPr>
                <w:rFonts w:ascii="Calibri" w:hAnsi="Calibri"/>
                <w:b/>
                <w:szCs w:val="22"/>
              </w:rPr>
              <w:t xml:space="preserve"> BC</w:t>
            </w:r>
            <w:r>
              <w:rPr>
                <w:rFonts w:ascii="Calibri" w:hAnsi="Calibri"/>
                <w:b/>
                <w:szCs w:val="22"/>
              </w:rPr>
              <w:t>:</w:t>
            </w:r>
          </w:p>
        </w:tc>
        <w:tc>
          <w:tcPr>
            <w:tcW w:w="6525" w:type="dxa"/>
            <w:gridSpan w:val="8"/>
          </w:tcPr>
          <w:p w14:paraId="7EA6472C" w14:textId="20AE5BE4" w:rsidR="004F186B" w:rsidRPr="00DB61F7" w:rsidRDefault="007A6D5A" w:rsidP="006126D1">
            <w:pPr>
              <w:jc w:val="both"/>
              <w:rPr>
                <w:rFonts w:ascii="Calibri" w:hAnsi="Calibri"/>
                <w:szCs w:val="22"/>
              </w:rPr>
            </w:pPr>
            <w:r>
              <w:rPr>
                <w:rFonts w:ascii="Calibri" w:hAnsi="Calibri"/>
                <w:szCs w:val="22"/>
              </w:rPr>
              <w:t xml:space="preserve"> </w:t>
            </w:r>
            <w:r w:rsidR="00C473E6">
              <w:rPr>
                <w:rFonts w:ascii="Calibri" w:hAnsi="Calibri"/>
                <w:szCs w:val="22"/>
              </w:rPr>
              <w:t>No objections.</w:t>
            </w:r>
          </w:p>
        </w:tc>
      </w:tr>
      <w:tr w:rsidR="00760861" w:rsidRPr="008C75E4" w14:paraId="4AEFB521" w14:textId="77777777" w:rsidTr="00665A44">
        <w:trPr>
          <w:jc w:val="center"/>
        </w:trPr>
        <w:tc>
          <w:tcPr>
            <w:tcW w:w="3115" w:type="dxa"/>
            <w:gridSpan w:val="5"/>
            <w:tcMar>
              <w:top w:w="57" w:type="dxa"/>
              <w:bottom w:w="57" w:type="dxa"/>
            </w:tcMar>
          </w:tcPr>
          <w:p w14:paraId="32A7E33D" w14:textId="5367DD80" w:rsidR="00760861" w:rsidRDefault="00760861" w:rsidP="006126D1">
            <w:pPr>
              <w:jc w:val="both"/>
              <w:rPr>
                <w:rFonts w:ascii="Calibri" w:hAnsi="Calibri"/>
                <w:b/>
                <w:szCs w:val="22"/>
              </w:rPr>
            </w:pPr>
            <w:r>
              <w:rPr>
                <w:rFonts w:ascii="Calibri" w:hAnsi="Calibri"/>
                <w:b/>
                <w:szCs w:val="22"/>
              </w:rPr>
              <w:t xml:space="preserve">RVBC Environmental Health </w:t>
            </w:r>
          </w:p>
        </w:tc>
        <w:tc>
          <w:tcPr>
            <w:tcW w:w="6525" w:type="dxa"/>
            <w:gridSpan w:val="8"/>
          </w:tcPr>
          <w:p w14:paraId="6DC57393" w14:textId="6FAE068D" w:rsidR="00760861" w:rsidRDefault="00760861" w:rsidP="006126D1">
            <w:pPr>
              <w:jc w:val="both"/>
              <w:rPr>
                <w:rFonts w:ascii="Calibri" w:hAnsi="Calibri"/>
                <w:szCs w:val="22"/>
              </w:rPr>
            </w:pPr>
            <w:r>
              <w:rPr>
                <w:rFonts w:ascii="Calibri" w:hAnsi="Calibri"/>
                <w:szCs w:val="22"/>
              </w:rPr>
              <w:t>Noise levels acceptable subject to conditions</w:t>
            </w:r>
          </w:p>
        </w:tc>
      </w:tr>
      <w:tr w:rsidR="004F186B" w:rsidRPr="008C75E4" w14:paraId="769FD2BA" w14:textId="77777777" w:rsidTr="00665A44">
        <w:trPr>
          <w:jc w:val="center"/>
        </w:trPr>
        <w:tc>
          <w:tcPr>
            <w:tcW w:w="3115" w:type="dxa"/>
            <w:gridSpan w:val="5"/>
            <w:tcMar>
              <w:top w:w="57" w:type="dxa"/>
              <w:bottom w:w="57" w:type="dxa"/>
            </w:tcMar>
          </w:tcPr>
          <w:p w14:paraId="091B684A" w14:textId="09FC1AE7" w:rsidR="004F186B" w:rsidRDefault="004F186B" w:rsidP="006126D1">
            <w:pPr>
              <w:jc w:val="both"/>
              <w:rPr>
                <w:rFonts w:ascii="Calibri" w:hAnsi="Calibri"/>
                <w:b/>
                <w:szCs w:val="22"/>
              </w:rPr>
            </w:pPr>
          </w:p>
        </w:tc>
        <w:tc>
          <w:tcPr>
            <w:tcW w:w="6525" w:type="dxa"/>
            <w:gridSpan w:val="8"/>
          </w:tcPr>
          <w:p w14:paraId="7B7C9CFF" w14:textId="228DBCB6" w:rsidR="004F186B" w:rsidRPr="00DB61F7" w:rsidRDefault="004F186B" w:rsidP="006126D1">
            <w:pPr>
              <w:jc w:val="both"/>
              <w:rPr>
                <w:rFonts w:ascii="Calibri" w:hAnsi="Calibri"/>
                <w:szCs w:val="22"/>
              </w:rPr>
            </w:pPr>
          </w:p>
        </w:tc>
      </w:tr>
      <w:tr w:rsidR="008C75E4" w:rsidRPr="008C75E4" w14:paraId="62CED678" w14:textId="77777777" w:rsidTr="00665A44">
        <w:trPr>
          <w:jc w:val="center"/>
        </w:trPr>
        <w:tc>
          <w:tcPr>
            <w:tcW w:w="9640" w:type="dxa"/>
            <w:gridSpan w:val="13"/>
            <w:tcMar>
              <w:top w:w="57" w:type="dxa"/>
              <w:bottom w:w="57" w:type="dxa"/>
            </w:tcMar>
          </w:tcPr>
          <w:p w14:paraId="65AAC184" w14:textId="77777777" w:rsidR="00C0704D" w:rsidRPr="008C75E4" w:rsidRDefault="00C0704D" w:rsidP="00FC046F">
            <w:pPr>
              <w:jc w:val="both"/>
              <w:rPr>
                <w:rFonts w:ascii="Calibri" w:hAnsi="Calibri"/>
                <w:szCs w:val="22"/>
              </w:rPr>
            </w:pPr>
          </w:p>
        </w:tc>
      </w:tr>
      <w:tr w:rsidR="008C75E4" w:rsidRPr="008C75E4" w14:paraId="20C98DA4" w14:textId="77777777" w:rsidTr="00665A44">
        <w:trPr>
          <w:jc w:val="center"/>
        </w:trPr>
        <w:tc>
          <w:tcPr>
            <w:tcW w:w="3115" w:type="dxa"/>
            <w:gridSpan w:val="5"/>
            <w:tcMar>
              <w:top w:w="57" w:type="dxa"/>
              <w:bottom w:w="57" w:type="dxa"/>
            </w:tcMar>
          </w:tcPr>
          <w:p w14:paraId="34069A8D"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525" w:type="dxa"/>
            <w:gridSpan w:val="8"/>
          </w:tcPr>
          <w:p w14:paraId="7C63EEB5"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5BD785FC" w14:textId="77777777" w:rsidTr="00665A44">
        <w:trPr>
          <w:jc w:val="center"/>
        </w:trPr>
        <w:tc>
          <w:tcPr>
            <w:tcW w:w="9640" w:type="dxa"/>
            <w:gridSpan w:val="13"/>
            <w:tcBorders>
              <w:bottom w:val="single" w:sz="4" w:space="0" w:color="BFBFBF" w:themeColor="background1" w:themeShade="BF"/>
            </w:tcBorders>
            <w:tcMar>
              <w:top w:w="57" w:type="dxa"/>
              <w:bottom w:w="57" w:type="dxa"/>
            </w:tcMar>
          </w:tcPr>
          <w:p w14:paraId="6F4B9807" w14:textId="5015234A" w:rsidR="005878FE" w:rsidRDefault="004F186B" w:rsidP="00435FC9">
            <w:pPr>
              <w:jc w:val="both"/>
              <w:rPr>
                <w:rFonts w:ascii="Calibri" w:hAnsi="Calibri"/>
                <w:szCs w:val="22"/>
              </w:rPr>
            </w:pPr>
            <w:r>
              <w:rPr>
                <w:rFonts w:ascii="Calibri" w:hAnsi="Calibri"/>
                <w:szCs w:val="22"/>
              </w:rPr>
              <w:t xml:space="preserve"> </w:t>
            </w:r>
            <w:r w:rsidR="00760861">
              <w:rPr>
                <w:rFonts w:ascii="Calibri" w:hAnsi="Calibri"/>
                <w:szCs w:val="22"/>
              </w:rPr>
              <w:t>Seven</w:t>
            </w:r>
            <w:r w:rsidR="00D46089">
              <w:rPr>
                <w:rFonts w:ascii="Calibri" w:hAnsi="Calibri"/>
                <w:szCs w:val="22"/>
              </w:rPr>
              <w:t xml:space="preserve"> </w:t>
            </w:r>
            <w:r w:rsidR="00DD31D7">
              <w:rPr>
                <w:rFonts w:ascii="Calibri" w:hAnsi="Calibri"/>
                <w:szCs w:val="22"/>
              </w:rPr>
              <w:t>objection</w:t>
            </w:r>
            <w:r w:rsidR="000D6BE8">
              <w:rPr>
                <w:rFonts w:ascii="Calibri" w:hAnsi="Calibri"/>
                <w:szCs w:val="22"/>
              </w:rPr>
              <w:t>s</w:t>
            </w:r>
            <w:r w:rsidR="00DD31D7">
              <w:rPr>
                <w:rFonts w:ascii="Calibri" w:hAnsi="Calibri"/>
                <w:szCs w:val="22"/>
              </w:rPr>
              <w:t xml:space="preserve"> ha</w:t>
            </w:r>
            <w:r w:rsidR="000D6BE8">
              <w:rPr>
                <w:rFonts w:ascii="Calibri" w:hAnsi="Calibri"/>
                <w:szCs w:val="22"/>
              </w:rPr>
              <w:t>ve</w:t>
            </w:r>
            <w:r w:rsidR="00DD31D7">
              <w:rPr>
                <w:rFonts w:ascii="Calibri" w:hAnsi="Calibri"/>
                <w:szCs w:val="22"/>
              </w:rPr>
              <w:t xml:space="preserve"> been received</w:t>
            </w:r>
            <w:r w:rsidR="000D6BE8">
              <w:rPr>
                <w:rFonts w:ascii="Calibri" w:hAnsi="Calibri"/>
                <w:szCs w:val="22"/>
              </w:rPr>
              <w:t xml:space="preserve"> on the following grounds</w:t>
            </w:r>
            <w:r w:rsidR="00DD31D7">
              <w:rPr>
                <w:rFonts w:ascii="Calibri" w:hAnsi="Calibri"/>
                <w:szCs w:val="22"/>
              </w:rPr>
              <w:t>:</w:t>
            </w:r>
          </w:p>
          <w:p w14:paraId="4DBC567F" w14:textId="77777777" w:rsidR="00AA1491" w:rsidRDefault="00AA1491" w:rsidP="00435FC9">
            <w:pPr>
              <w:jc w:val="both"/>
              <w:rPr>
                <w:rFonts w:ascii="Calibri" w:hAnsi="Calibri"/>
                <w:szCs w:val="22"/>
              </w:rPr>
            </w:pPr>
          </w:p>
          <w:p w14:paraId="713C97F6" w14:textId="4AE213AC" w:rsidR="00AA1491" w:rsidRDefault="00AA1491" w:rsidP="00AA1491">
            <w:pPr>
              <w:pStyle w:val="ListParagraph"/>
              <w:numPr>
                <w:ilvl w:val="0"/>
                <w:numId w:val="17"/>
              </w:numPr>
              <w:jc w:val="both"/>
              <w:rPr>
                <w:rFonts w:ascii="Calibri" w:hAnsi="Calibri"/>
                <w:szCs w:val="22"/>
              </w:rPr>
            </w:pPr>
            <w:r>
              <w:rPr>
                <w:rFonts w:ascii="Calibri" w:hAnsi="Calibri"/>
                <w:szCs w:val="22"/>
              </w:rPr>
              <w:t>Impact on the road in terms of access;</w:t>
            </w:r>
          </w:p>
          <w:p w14:paraId="76872650" w14:textId="0A8B2F99" w:rsidR="00AA1491" w:rsidRDefault="00AA1491" w:rsidP="00AA1491">
            <w:pPr>
              <w:pStyle w:val="ListParagraph"/>
              <w:numPr>
                <w:ilvl w:val="0"/>
                <w:numId w:val="17"/>
              </w:numPr>
              <w:jc w:val="both"/>
              <w:rPr>
                <w:rFonts w:ascii="Calibri" w:hAnsi="Calibri"/>
                <w:szCs w:val="22"/>
              </w:rPr>
            </w:pPr>
            <w:r>
              <w:rPr>
                <w:rFonts w:ascii="Calibri" w:hAnsi="Calibri"/>
                <w:szCs w:val="22"/>
              </w:rPr>
              <w:t>Parking is restricted due to workers in Haydock House and visitors to Haydock Nursing Home using the road leaving residents nowhere to park;</w:t>
            </w:r>
          </w:p>
          <w:p w14:paraId="6C0EE7F2" w14:textId="39C0C578" w:rsidR="00AA1491" w:rsidRDefault="00AA1491" w:rsidP="00AA1491">
            <w:pPr>
              <w:pStyle w:val="ListParagraph"/>
              <w:numPr>
                <w:ilvl w:val="0"/>
                <w:numId w:val="17"/>
              </w:numPr>
              <w:jc w:val="both"/>
              <w:rPr>
                <w:rFonts w:ascii="Calibri" w:hAnsi="Calibri"/>
                <w:szCs w:val="22"/>
              </w:rPr>
            </w:pPr>
            <w:r>
              <w:rPr>
                <w:rFonts w:ascii="Calibri" w:hAnsi="Calibri"/>
                <w:szCs w:val="22"/>
              </w:rPr>
              <w:t>Proposed 17 parking spaces seems inadequate given the size of units and potential requirements of the users;</w:t>
            </w:r>
          </w:p>
          <w:p w14:paraId="4295A2D0" w14:textId="289FAE6A" w:rsidR="00C27C23" w:rsidRDefault="00C27C23" w:rsidP="00AA1491">
            <w:pPr>
              <w:pStyle w:val="ListParagraph"/>
              <w:numPr>
                <w:ilvl w:val="0"/>
                <w:numId w:val="17"/>
              </w:numPr>
              <w:jc w:val="both"/>
              <w:rPr>
                <w:rFonts w:ascii="Calibri" w:hAnsi="Calibri"/>
                <w:szCs w:val="22"/>
              </w:rPr>
            </w:pPr>
            <w:r>
              <w:rPr>
                <w:rFonts w:ascii="Calibri" w:hAnsi="Calibri"/>
                <w:szCs w:val="22"/>
              </w:rPr>
              <w:t>The proposal of several units will generate more traffic movements along this road;</w:t>
            </w:r>
          </w:p>
          <w:p w14:paraId="55608589" w14:textId="3461AA2B" w:rsidR="00AA1491" w:rsidRDefault="00AA1491" w:rsidP="00AA1491">
            <w:pPr>
              <w:pStyle w:val="ListParagraph"/>
              <w:numPr>
                <w:ilvl w:val="0"/>
                <w:numId w:val="17"/>
              </w:numPr>
              <w:jc w:val="both"/>
              <w:rPr>
                <w:rFonts w:ascii="Calibri" w:hAnsi="Calibri"/>
                <w:szCs w:val="22"/>
              </w:rPr>
            </w:pPr>
            <w:r>
              <w:rPr>
                <w:rFonts w:ascii="Calibri" w:hAnsi="Calibri"/>
                <w:szCs w:val="22"/>
              </w:rPr>
              <w:t>The building has been empty for some time and is in poor condition with bats nesting in the summer;</w:t>
            </w:r>
          </w:p>
          <w:p w14:paraId="5D53F1FB" w14:textId="18A87A99" w:rsidR="00AA1491" w:rsidRDefault="00AA1491" w:rsidP="00AA1491">
            <w:pPr>
              <w:pStyle w:val="ListParagraph"/>
              <w:numPr>
                <w:ilvl w:val="0"/>
                <w:numId w:val="17"/>
              </w:numPr>
              <w:jc w:val="both"/>
              <w:rPr>
                <w:rFonts w:ascii="Calibri" w:hAnsi="Calibri"/>
                <w:szCs w:val="22"/>
              </w:rPr>
            </w:pPr>
            <w:r>
              <w:rPr>
                <w:rFonts w:ascii="Calibri" w:hAnsi="Calibri"/>
                <w:szCs w:val="22"/>
              </w:rPr>
              <w:t>It is a shame to lose a façade with such a strong vernacular on the street scene, I hope the brick wall and iron fencing will be retained?</w:t>
            </w:r>
          </w:p>
          <w:p w14:paraId="2654C1D2" w14:textId="301CB5BD" w:rsidR="00AA1491" w:rsidRDefault="00AA1491" w:rsidP="00AA1491">
            <w:pPr>
              <w:pStyle w:val="ListParagraph"/>
              <w:numPr>
                <w:ilvl w:val="0"/>
                <w:numId w:val="17"/>
              </w:numPr>
              <w:jc w:val="both"/>
              <w:rPr>
                <w:rFonts w:ascii="Calibri" w:hAnsi="Calibri"/>
                <w:szCs w:val="22"/>
              </w:rPr>
            </w:pPr>
            <w:r>
              <w:rPr>
                <w:rFonts w:ascii="Calibri" w:hAnsi="Calibri"/>
                <w:szCs w:val="22"/>
              </w:rPr>
              <w:t>There are some inconsistencies with the elevations and Design and Access Statement in terms of materials;</w:t>
            </w:r>
          </w:p>
          <w:p w14:paraId="5B389EF6" w14:textId="5EA6F696" w:rsidR="00AA1491" w:rsidRDefault="00AA1491" w:rsidP="00AA1491">
            <w:pPr>
              <w:pStyle w:val="ListParagraph"/>
              <w:numPr>
                <w:ilvl w:val="0"/>
                <w:numId w:val="17"/>
              </w:numPr>
              <w:jc w:val="both"/>
              <w:rPr>
                <w:rFonts w:ascii="Calibri" w:hAnsi="Calibri"/>
                <w:szCs w:val="22"/>
              </w:rPr>
            </w:pPr>
            <w:r>
              <w:rPr>
                <w:rFonts w:ascii="Calibri" w:hAnsi="Calibri"/>
                <w:szCs w:val="22"/>
              </w:rPr>
              <w:lastRenderedPageBreak/>
              <w:t>Concerns over possible noise from the industrial units;</w:t>
            </w:r>
          </w:p>
          <w:p w14:paraId="517C26B2" w14:textId="23CAC92B" w:rsidR="00C27C23" w:rsidRDefault="00C27C23" w:rsidP="00AA1491">
            <w:pPr>
              <w:pStyle w:val="ListParagraph"/>
              <w:numPr>
                <w:ilvl w:val="0"/>
                <w:numId w:val="17"/>
              </w:numPr>
              <w:jc w:val="both"/>
              <w:rPr>
                <w:rFonts w:ascii="Calibri" w:hAnsi="Calibri"/>
                <w:szCs w:val="22"/>
              </w:rPr>
            </w:pPr>
            <w:r>
              <w:rPr>
                <w:rFonts w:ascii="Calibri" w:hAnsi="Calibri"/>
                <w:szCs w:val="22"/>
              </w:rPr>
              <w:t>There is a nursing home close to the site and this should be respected.  Many properties are subject to covenants restricting activities, Planning need to ensure no covenants apply;</w:t>
            </w:r>
          </w:p>
          <w:p w14:paraId="5912BF63" w14:textId="41168BDB" w:rsidR="00AA1491" w:rsidRDefault="00AA1491" w:rsidP="00AA1491">
            <w:pPr>
              <w:pStyle w:val="ListParagraph"/>
              <w:numPr>
                <w:ilvl w:val="0"/>
                <w:numId w:val="17"/>
              </w:numPr>
              <w:jc w:val="both"/>
              <w:rPr>
                <w:rFonts w:ascii="Calibri" w:hAnsi="Calibri"/>
                <w:szCs w:val="22"/>
              </w:rPr>
            </w:pPr>
            <w:r>
              <w:rPr>
                <w:rFonts w:ascii="Calibri" w:hAnsi="Calibri"/>
                <w:szCs w:val="22"/>
              </w:rPr>
              <w:t>Potential air and water pollution to the nearby river;</w:t>
            </w:r>
          </w:p>
          <w:p w14:paraId="3B2E9F70" w14:textId="453B75F6" w:rsidR="00AA1491" w:rsidRDefault="00AA1491" w:rsidP="00AA1491">
            <w:pPr>
              <w:pStyle w:val="ListParagraph"/>
              <w:numPr>
                <w:ilvl w:val="0"/>
                <w:numId w:val="17"/>
              </w:numPr>
              <w:jc w:val="both"/>
              <w:rPr>
                <w:rFonts w:ascii="Calibri" w:hAnsi="Calibri"/>
                <w:szCs w:val="22"/>
              </w:rPr>
            </w:pPr>
            <w:r>
              <w:rPr>
                <w:rFonts w:ascii="Calibri" w:hAnsi="Calibri"/>
                <w:szCs w:val="22"/>
              </w:rPr>
              <w:t>It would be a possibility to liaise with Blackburn and Darwen Council over potential for local residents parking permits and block off Broadway to prevent vans/HGV’s driving down this narrow road, driving over grass verges and presenting a risk to young children playing outside their houses;</w:t>
            </w:r>
          </w:p>
          <w:p w14:paraId="5ABFD9CF" w14:textId="44328C37" w:rsidR="00AA1491" w:rsidRDefault="00AA1491" w:rsidP="00AA1491">
            <w:pPr>
              <w:pStyle w:val="ListParagraph"/>
              <w:numPr>
                <w:ilvl w:val="0"/>
                <w:numId w:val="17"/>
              </w:numPr>
              <w:jc w:val="both"/>
              <w:rPr>
                <w:rFonts w:ascii="Calibri" w:hAnsi="Calibri"/>
                <w:szCs w:val="22"/>
              </w:rPr>
            </w:pPr>
            <w:r>
              <w:rPr>
                <w:rFonts w:ascii="Calibri" w:hAnsi="Calibri"/>
                <w:szCs w:val="22"/>
              </w:rPr>
              <w:t>It would be a great loss for this building to be completely demolished;</w:t>
            </w:r>
          </w:p>
          <w:p w14:paraId="14897FEF" w14:textId="6F5726FB" w:rsidR="00C27C23" w:rsidRDefault="00C27C23" w:rsidP="00AA1491">
            <w:pPr>
              <w:pStyle w:val="ListParagraph"/>
              <w:numPr>
                <w:ilvl w:val="0"/>
                <w:numId w:val="17"/>
              </w:numPr>
              <w:jc w:val="both"/>
              <w:rPr>
                <w:rFonts w:ascii="Calibri" w:hAnsi="Calibri"/>
                <w:szCs w:val="22"/>
              </w:rPr>
            </w:pPr>
            <w:r>
              <w:rPr>
                <w:rFonts w:ascii="Calibri" w:hAnsi="Calibri"/>
                <w:szCs w:val="22"/>
              </w:rPr>
              <w:t>The surface water drains to both the combined sewer and the adjacent Seven Acres Brook which has been polluted on a number of occasions from units on this site.  Surface water drainage should have adequate oil interception and vehicle washing should drain to foul sewer;</w:t>
            </w:r>
          </w:p>
          <w:p w14:paraId="603D6B02" w14:textId="41CA2957" w:rsidR="00C27C23" w:rsidRDefault="00C27C23" w:rsidP="00AA1491">
            <w:pPr>
              <w:pStyle w:val="ListParagraph"/>
              <w:numPr>
                <w:ilvl w:val="0"/>
                <w:numId w:val="17"/>
              </w:numPr>
              <w:jc w:val="both"/>
              <w:rPr>
                <w:rFonts w:ascii="Calibri" w:hAnsi="Calibri"/>
                <w:szCs w:val="22"/>
              </w:rPr>
            </w:pPr>
            <w:r>
              <w:rPr>
                <w:rFonts w:ascii="Calibri" w:hAnsi="Calibri"/>
                <w:szCs w:val="22"/>
              </w:rPr>
              <w:t>The site is a known flood risk and is a Flood Zone 3 and the proposed development needs to be constructed to take account of this risk and not increase the flood risk to local properties;</w:t>
            </w:r>
          </w:p>
          <w:p w14:paraId="3A38050E" w14:textId="74465E11" w:rsidR="00C27C23" w:rsidRDefault="00C27C23" w:rsidP="00AA1491">
            <w:pPr>
              <w:pStyle w:val="ListParagraph"/>
              <w:numPr>
                <w:ilvl w:val="0"/>
                <w:numId w:val="17"/>
              </w:numPr>
              <w:jc w:val="both"/>
              <w:rPr>
                <w:rFonts w:ascii="Calibri" w:hAnsi="Calibri"/>
                <w:szCs w:val="22"/>
              </w:rPr>
            </w:pPr>
            <w:r>
              <w:rPr>
                <w:rFonts w:ascii="Calibri" w:hAnsi="Calibri"/>
                <w:szCs w:val="22"/>
              </w:rPr>
              <w:t>Times of operation should be limited to normal daily working hours, especially outdoor activities;</w:t>
            </w:r>
          </w:p>
          <w:p w14:paraId="2964E76C" w14:textId="77777777" w:rsidR="00AA1491" w:rsidRDefault="00AA1491" w:rsidP="00AA1491">
            <w:pPr>
              <w:pStyle w:val="ListParagraph"/>
              <w:numPr>
                <w:ilvl w:val="0"/>
                <w:numId w:val="17"/>
              </w:numPr>
              <w:jc w:val="both"/>
              <w:rPr>
                <w:rFonts w:ascii="Calibri" w:hAnsi="Calibri"/>
                <w:szCs w:val="22"/>
              </w:rPr>
            </w:pPr>
            <w:r>
              <w:rPr>
                <w:rFonts w:ascii="Calibri" w:hAnsi="Calibri"/>
                <w:szCs w:val="22"/>
              </w:rPr>
              <w:t>The building is built in Accrington Norris probably the best and strongest of all facing bricks, sadly no longer made;</w:t>
            </w:r>
          </w:p>
          <w:p w14:paraId="1AC37F84" w14:textId="48F7B629" w:rsidR="00AA1491" w:rsidRDefault="00AA1491" w:rsidP="00AA1491">
            <w:pPr>
              <w:pStyle w:val="ListParagraph"/>
              <w:numPr>
                <w:ilvl w:val="0"/>
                <w:numId w:val="17"/>
              </w:numPr>
              <w:jc w:val="both"/>
              <w:rPr>
                <w:rFonts w:ascii="Calibri" w:hAnsi="Calibri"/>
                <w:szCs w:val="22"/>
              </w:rPr>
            </w:pPr>
            <w:r>
              <w:rPr>
                <w:rFonts w:ascii="Calibri" w:hAnsi="Calibri"/>
                <w:szCs w:val="22"/>
              </w:rPr>
              <w:t xml:space="preserve">There are environmental benefits and costs to keeping </w:t>
            </w:r>
            <w:r w:rsidR="00C27C23">
              <w:rPr>
                <w:rFonts w:ascii="Calibri" w:hAnsi="Calibri"/>
                <w:szCs w:val="22"/>
              </w:rPr>
              <w:t xml:space="preserve">the </w:t>
            </w:r>
            <w:r>
              <w:rPr>
                <w:rFonts w:ascii="Calibri" w:hAnsi="Calibri"/>
                <w:szCs w:val="22"/>
              </w:rPr>
              <w:t>solid and well-built walls rather than new materials;</w:t>
            </w:r>
          </w:p>
          <w:p w14:paraId="36F89CFB" w14:textId="1CDA32F5" w:rsidR="00C27C23" w:rsidRDefault="00C27C23" w:rsidP="00AA1491">
            <w:pPr>
              <w:pStyle w:val="ListParagraph"/>
              <w:numPr>
                <w:ilvl w:val="0"/>
                <w:numId w:val="17"/>
              </w:numPr>
              <w:jc w:val="both"/>
              <w:rPr>
                <w:rFonts w:ascii="Calibri" w:hAnsi="Calibri"/>
                <w:szCs w:val="22"/>
              </w:rPr>
            </w:pPr>
            <w:r>
              <w:rPr>
                <w:rFonts w:ascii="Calibri" w:hAnsi="Calibri"/>
                <w:szCs w:val="22"/>
              </w:rPr>
              <w:t xml:space="preserve">If this is not a viable alternative worthy of consideration then the main elevation should completely brick built to better blend in as the nearby office block is brick with slate cladding at the top; and </w:t>
            </w:r>
          </w:p>
          <w:p w14:paraId="77C54CE8" w14:textId="31C89177" w:rsidR="00AA1491" w:rsidRDefault="00AA1491" w:rsidP="00AA1491">
            <w:pPr>
              <w:pStyle w:val="ListParagraph"/>
              <w:numPr>
                <w:ilvl w:val="0"/>
                <w:numId w:val="17"/>
              </w:numPr>
              <w:jc w:val="both"/>
              <w:rPr>
                <w:rFonts w:ascii="Calibri" w:hAnsi="Calibri"/>
                <w:szCs w:val="22"/>
              </w:rPr>
            </w:pPr>
            <w:r>
              <w:rPr>
                <w:rFonts w:ascii="Calibri" w:hAnsi="Calibri"/>
                <w:szCs w:val="22"/>
              </w:rPr>
              <w:t xml:space="preserve"> Pleckgate Road is primarily a residential area and the proposed units would be fine on an industrial estate it will, I believe, be out of character in this location</w:t>
            </w:r>
            <w:r w:rsidR="00C27C23">
              <w:rPr>
                <w:rFonts w:ascii="Calibri" w:hAnsi="Calibri"/>
                <w:szCs w:val="22"/>
              </w:rPr>
              <w:t>.</w:t>
            </w:r>
          </w:p>
          <w:p w14:paraId="51A5AC80" w14:textId="77777777" w:rsidR="004A2E05" w:rsidRPr="00435FC9" w:rsidRDefault="004A2E05" w:rsidP="00665A44">
            <w:pPr>
              <w:jc w:val="both"/>
              <w:rPr>
                <w:rFonts w:ascii="Calibri" w:hAnsi="Calibri"/>
                <w:szCs w:val="22"/>
              </w:rPr>
            </w:pPr>
          </w:p>
        </w:tc>
      </w:tr>
      <w:tr w:rsidR="008C75E4" w:rsidRPr="008C75E4" w14:paraId="78B5C9C6" w14:textId="77777777" w:rsidTr="00665A44">
        <w:trPr>
          <w:trHeight w:hRule="exact" w:val="144"/>
          <w:jc w:val="center"/>
        </w:trPr>
        <w:tc>
          <w:tcPr>
            <w:tcW w:w="9640" w:type="dxa"/>
            <w:gridSpan w:val="13"/>
            <w:tcBorders>
              <w:left w:val="nil"/>
              <w:right w:val="nil"/>
            </w:tcBorders>
            <w:tcMar>
              <w:top w:w="57" w:type="dxa"/>
              <w:bottom w:w="57" w:type="dxa"/>
            </w:tcMar>
          </w:tcPr>
          <w:p w14:paraId="763C0C6E" w14:textId="77777777" w:rsidR="00C0704D" w:rsidRPr="00504440" w:rsidRDefault="00C0704D" w:rsidP="006126D1">
            <w:pPr>
              <w:jc w:val="both"/>
              <w:rPr>
                <w:rFonts w:ascii="Calibri" w:hAnsi="Calibri"/>
                <w:sz w:val="4"/>
                <w:szCs w:val="4"/>
              </w:rPr>
            </w:pPr>
          </w:p>
        </w:tc>
      </w:tr>
      <w:tr w:rsidR="008C75E4" w:rsidRPr="008C75E4" w14:paraId="41BBBCCA" w14:textId="77777777" w:rsidTr="00665A44">
        <w:trPr>
          <w:jc w:val="center"/>
        </w:trPr>
        <w:tc>
          <w:tcPr>
            <w:tcW w:w="9640" w:type="dxa"/>
            <w:gridSpan w:val="13"/>
            <w:tcMar>
              <w:top w:w="57" w:type="dxa"/>
              <w:bottom w:w="57" w:type="dxa"/>
            </w:tcMar>
          </w:tcPr>
          <w:p w14:paraId="710AADD5"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409F393F" w14:textId="77777777" w:rsidTr="00665A44">
        <w:trPr>
          <w:trHeight w:val="864"/>
          <w:jc w:val="center"/>
        </w:trPr>
        <w:tc>
          <w:tcPr>
            <w:tcW w:w="9640" w:type="dxa"/>
            <w:gridSpan w:val="13"/>
            <w:tcMar>
              <w:top w:w="57" w:type="dxa"/>
              <w:bottom w:w="57" w:type="dxa"/>
            </w:tcMar>
          </w:tcPr>
          <w:p w14:paraId="5A466753" w14:textId="77777777" w:rsidR="008542DE" w:rsidRDefault="00C0704D" w:rsidP="00504440">
            <w:pPr>
              <w:pStyle w:val="PLANNING"/>
              <w:rPr>
                <w:rFonts w:ascii="Calibri" w:hAnsi="Calibri"/>
                <w:b/>
                <w:bCs/>
                <w:szCs w:val="22"/>
              </w:rPr>
            </w:pPr>
            <w:r w:rsidRPr="008C75E4">
              <w:rPr>
                <w:rFonts w:ascii="Calibri" w:hAnsi="Calibri"/>
                <w:b/>
                <w:bCs/>
                <w:szCs w:val="22"/>
              </w:rPr>
              <w:t>Ribble Valley Core Strategy:</w:t>
            </w:r>
          </w:p>
          <w:p w14:paraId="6EE9E44B" w14:textId="77777777" w:rsidR="000D6BE8" w:rsidRPr="00504440" w:rsidRDefault="000D6BE8" w:rsidP="00504440">
            <w:pPr>
              <w:pStyle w:val="PLANNING"/>
              <w:rPr>
                <w:rFonts w:ascii="Calibri" w:hAnsi="Calibri"/>
                <w:b/>
                <w:bCs/>
                <w:szCs w:val="22"/>
              </w:rPr>
            </w:pPr>
          </w:p>
          <w:p w14:paraId="59F6C21A" w14:textId="714C5E3D" w:rsidR="00560A22" w:rsidRPr="00752742" w:rsidRDefault="000D6BE8" w:rsidP="00560A22">
            <w:pPr>
              <w:jc w:val="both"/>
              <w:rPr>
                <w:rFonts w:ascii="Calibri" w:hAnsi="Calibri"/>
                <w:szCs w:val="22"/>
              </w:rPr>
            </w:pPr>
            <w:r>
              <w:rPr>
                <w:rFonts w:ascii="Calibri" w:hAnsi="Calibri"/>
                <w:szCs w:val="22"/>
              </w:rPr>
              <w:t>Key Statement</w:t>
            </w:r>
            <w:r w:rsidR="00007942">
              <w:rPr>
                <w:rFonts w:ascii="Calibri" w:hAnsi="Calibri"/>
                <w:szCs w:val="22"/>
              </w:rPr>
              <w:t xml:space="preserve"> DS1</w:t>
            </w:r>
            <w:r w:rsidR="00560A22" w:rsidRPr="00752742">
              <w:rPr>
                <w:rFonts w:ascii="Calibri" w:hAnsi="Calibri"/>
                <w:szCs w:val="22"/>
              </w:rPr>
              <w:t xml:space="preserve">: Development Strategy </w:t>
            </w:r>
          </w:p>
          <w:p w14:paraId="6A814F50" w14:textId="42CC180F" w:rsidR="00560A22" w:rsidRPr="00752742" w:rsidRDefault="00007942" w:rsidP="00560A22">
            <w:pPr>
              <w:jc w:val="both"/>
              <w:rPr>
                <w:rFonts w:ascii="Calibri" w:hAnsi="Calibri"/>
                <w:szCs w:val="22"/>
              </w:rPr>
            </w:pPr>
            <w:r>
              <w:rPr>
                <w:rFonts w:ascii="Calibri" w:hAnsi="Calibri"/>
                <w:szCs w:val="22"/>
              </w:rPr>
              <w:t xml:space="preserve">Key Statement </w:t>
            </w:r>
            <w:r w:rsidR="00560A22" w:rsidRPr="00752742">
              <w:rPr>
                <w:rFonts w:ascii="Calibri" w:hAnsi="Calibri"/>
                <w:szCs w:val="22"/>
              </w:rPr>
              <w:t xml:space="preserve">DS2: </w:t>
            </w:r>
            <w:r w:rsidR="00D62664">
              <w:rPr>
                <w:rFonts w:ascii="Calibri" w:hAnsi="Calibri"/>
                <w:szCs w:val="22"/>
              </w:rPr>
              <w:t xml:space="preserve">Presumption in Favour of </w:t>
            </w:r>
            <w:r w:rsidR="00560A22" w:rsidRPr="00752742">
              <w:rPr>
                <w:rFonts w:ascii="Calibri" w:hAnsi="Calibri"/>
                <w:szCs w:val="22"/>
              </w:rPr>
              <w:t xml:space="preserve">Sustainable Development </w:t>
            </w:r>
          </w:p>
          <w:p w14:paraId="3EF36873" w14:textId="7492C76D" w:rsidR="00007942" w:rsidRPr="00752742" w:rsidRDefault="00007942" w:rsidP="00007942">
            <w:pPr>
              <w:jc w:val="both"/>
              <w:rPr>
                <w:rFonts w:ascii="Calibri" w:hAnsi="Calibri"/>
                <w:szCs w:val="22"/>
              </w:rPr>
            </w:pPr>
            <w:r>
              <w:rPr>
                <w:rFonts w:ascii="Calibri" w:hAnsi="Calibri"/>
                <w:szCs w:val="22"/>
              </w:rPr>
              <w:t>Key Statement EN3</w:t>
            </w:r>
            <w:r w:rsidRPr="00752742">
              <w:rPr>
                <w:rFonts w:ascii="Calibri" w:hAnsi="Calibri"/>
                <w:szCs w:val="22"/>
              </w:rPr>
              <w:t xml:space="preserve">: </w:t>
            </w:r>
            <w:r w:rsidR="00D62664">
              <w:rPr>
                <w:rFonts w:ascii="Calibri" w:hAnsi="Calibri"/>
                <w:szCs w:val="22"/>
              </w:rPr>
              <w:t>Sustainable Development and Climate Change</w:t>
            </w:r>
          </w:p>
          <w:p w14:paraId="1AFACC9C" w14:textId="4662A94D" w:rsidR="00007942" w:rsidRPr="00752742" w:rsidRDefault="00007942" w:rsidP="00007942">
            <w:pPr>
              <w:jc w:val="both"/>
              <w:rPr>
                <w:rFonts w:ascii="Calibri" w:hAnsi="Calibri"/>
                <w:szCs w:val="22"/>
              </w:rPr>
            </w:pPr>
            <w:r>
              <w:rPr>
                <w:rFonts w:ascii="Calibri" w:hAnsi="Calibri"/>
                <w:szCs w:val="22"/>
              </w:rPr>
              <w:t>Key Statement EN4</w:t>
            </w:r>
            <w:r w:rsidRPr="00752742">
              <w:rPr>
                <w:rFonts w:ascii="Calibri" w:hAnsi="Calibri"/>
                <w:szCs w:val="22"/>
              </w:rPr>
              <w:t xml:space="preserve">: </w:t>
            </w:r>
            <w:r>
              <w:rPr>
                <w:rFonts w:ascii="Calibri" w:hAnsi="Calibri"/>
                <w:szCs w:val="22"/>
              </w:rPr>
              <w:t>Biodiversity and Geodiversity</w:t>
            </w:r>
            <w:r w:rsidRPr="00752742">
              <w:rPr>
                <w:rFonts w:ascii="Calibri" w:hAnsi="Calibri"/>
                <w:szCs w:val="22"/>
              </w:rPr>
              <w:t xml:space="preserve"> </w:t>
            </w:r>
          </w:p>
          <w:p w14:paraId="7DCC912B" w14:textId="4414F9EA" w:rsidR="00560A22" w:rsidRPr="00752742" w:rsidRDefault="00007942" w:rsidP="00560A22">
            <w:pPr>
              <w:jc w:val="both"/>
              <w:rPr>
                <w:rFonts w:ascii="Calibri" w:hAnsi="Calibri"/>
                <w:szCs w:val="22"/>
              </w:rPr>
            </w:pPr>
            <w:r>
              <w:rPr>
                <w:rFonts w:ascii="Calibri" w:hAnsi="Calibri"/>
                <w:szCs w:val="22"/>
              </w:rPr>
              <w:t>Key Statement</w:t>
            </w:r>
            <w:r w:rsidR="00560A22" w:rsidRPr="00752742">
              <w:rPr>
                <w:rFonts w:ascii="Calibri" w:hAnsi="Calibri"/>
                <w:szCs w:val="22"/>
              </w:rPr>
              <w:t xml:space="preserve"> EC1: Business and Employment Development </w:t>
            </w:r>
          </w:p>
          <w:p w14:paraId="4C437DB7" w14:textId="095A89C4" w:rsidR="00560A22" w:rsidRPr="00752742" w:rsidRDefault="00007942" w:rsidP="00560A22">
            <w:pPr>
              <w:jc w:val="both"/>
              <w:rPr>
                <w:rFonts w:ascii="Calibri" w:hAnsi="Calibri"/>
                <w:szCs w:val="22"/>
              </w:rPr>
            </w:pPr>
            <w:r>
              <w:rPr>
                <w:rFonts w:ascii="Calibri" w:hAnsi="Calibri"/>
                <w:szCs w:val="22"/>
              </w:rPr>
              <w:t>Key Statement</w:t>
            </w:r>
            <w:r w:rsidR="00560A22" w:rsidRPr="00752742">
              <w:rPr>
                <w:rFonts w:ascii="Calibri" w:hAnsi="Calibri"/>
                <w:szCs w:val="22"/>
              </w:rPr>
              <w:t xml:space="preserve"> DMI2: Transport Considerations </w:t>
            </w:r>
          </w:p>
          <w:p w14:paraId="6A6B2086" w14:textId="77777777" w:rsidR="000D6BE8" w:rsidRDefault="000D6BE8" w:rsidP="00560A22">
            <w:pPr>
              <w:jc w:val="both"/>
              <w:rPr>
                <w:rFonts w:ascii="Calibri" w:hAnsi="Calibri"/>
                <w:szCs w:val="22"/>
              </w:rPr>
            </w:pPr>
          </w:p>
          <w:p w14:paraId="543AA8A6" w14:textId="1DE80DEE" w:rsidR="00560A22" w:rsidRPr="00752742" w:rsidRDefault="00560A22" w:rsidP="00560A22">
            <w:pPr>
              <w:jc w:val="both"/>
              <w:rPr>
                <w:rFonts w:ascii="Calibri" w:hAnsi="Calibri"/>
                <w:szCs w:val="22"/>
              </w:rPr>
            </w:pPr>
            <w:r w:rsidRPr="00752742">
              <w:rPr>
                <w:rFonts w:ascii="Calibri" w:hAnsi="Calibri"/>
                <w:szCs w:val="22"/>
              </w:rPr>
              <w:t xml:space="preserve">Policy DMG1: General Considerations </w:t>
            </w:r>
          </w:p>
          <w:p w14:paraId="6964D9F8" w14:textId="77777777" w:rsidR="00560A22" w:rsidRPr="00752742" w:rsidRDefault="00560A22" w:rsidP="00560A22">
            <w:pPr>
              <w:jc w:val="both"/>
              <w:rPr>
                <w:rFonts w:ascii="Calibri" w:hAnsi="Calibri"/>
                <w:szCs w:val="22"/>
              </w:rPr>
            </w:pPr>
            <w:r w:rsidRPr="00752742">
              <w:rPr>
                <w:rFonts w:ascii="Calibri" w:hAnsi="Calibri"/>
                <w:szCs w:val="22"/>
              </w:rPr>
              <w:t xml:space="preserve">Policy DMG2: Strategic Considerations </w:t>
            </w:r>
          </w:p>
          <w:p w14:paraId="29984CE1" w14:textId="77777777" w:rsidR="00D62664" w:rsidRDefault="00560A22" w:rsidP="00560A22">
            <w:pPr>
              <w:jc w:val="both"/>
              <w:rPr>
                <w:rFonts w:ascii="Calibri" w:hAnsi="Calibri"/>
                <w:szCs w:val="22"/>
              </w:rPr>
            </w:pPr>
            <w:r w:rsidRPr="00752742">
              <w:rPr>
                <w:rFonts w:ascii="Calibri" w:hAnsi="Calibri"/>
                <w:szCs w:val="22"/>
              </w:rPr>
              <w:t>Policy DMG3: Transport and Mobility</w:t>
            </w:r>
          </w:p>
          <w:p w14:paraId="5D0AEDFC" w14:textId="720D4B1A" w:rsidR="00560A22" w:rsidRPr="00D62664" w:rsidRDefault="00D62664" w:rsidP="00560A22">
            <w:pPr>
              <w:jc w:val="both"/>
              <w:rPr>
                <w:rFonts w:ascii="Calibri" w:hAnsi="Calibri"/>
                <w:bCs/>
                <w:szCs w:val="22"/>
              </w:rPr>
            </w:pPr>
            <w:r w:rsidRPr="00D62664">
              <w:rPr>
                <w:rFonts w:ascii="Calibri" w:hAnsi="Calibri"/>
                <w:bCs/>
                <w:szCs w:val="22"/>
              </w:rPr>
              <w:t>Policy DME3: Site and Species Protection and Conservation</w:t>
            </w:r>
            <w:r w:rsidR="00560A22" w:rsidRPr="00D62664">
              <w:rPr>
                <w:rFonts w:ascii="Calibri" w:hAnsi="Calibri"/>
                <w:bCs/>
                <w:szCs w:val="22"/>
              </w:rPr>
              <w:t xml:space="preserve"> </w:t>
            </w:r>
          </w:p>
          <w:p w14:paraId="0758D629" w14:textId="77777777" w:rsidR="00560A22" w:rsidRDefault="00560A22" w:rsidP="00560A22">
            <w:pPr>
              <w:jc w:val="both"/>
              <w:rPr>
                <w:rFonts w:ascii="Calibri" w:hAnsi="Calibri"/>
                <w:szCs w:val="22"/>
              </w:rPr>
            </w:pPr>
            <w:r w:rsidRPr="00752742">
              <w:rPr>
                <w:rFonts w:ascii="Calibri" w:hAnsi="Calibri"/>
                <w:szCs w:val="22"/>
              </w:rPr>
              <w:t xml:space="preserve">Policy DMB1: Supporting Business Growth and The Local Economy </w:t>
            </w:r>
          </w:p>
          <w:p w14:paraId="420A4194" w14:textId="6E7264A3" w:rsidR="00D62664" w:rsidRPr="00752742" w:rsidRDefault="00D62664" w:rsidP="00560A22">
            <w:pPr>
              <w:jc w:val="both"/>
              <w:rPr>
                <w:rFonts w:ascii="Calibri" w:hAnsi="Calibri"/>
                <w:szCs w:val="22"/>
              </w:rPr>
            </w:pPr>
            <w:r>
              <w:rPr>
                <w:rFonts w:ascii="Calibri" w:hAnsi="Calibri"/>
                <w:szCs w:val="22"/>
              </w:rPr>
              <w:t>Policy DMB5 – Footpaths and Bridleways</w:t>
            </w:r>
          </w:p>
          <w:p w14:paraId="6B85B079" w14:textId="77777777" w:rsidR="001946E0" w:rsidRDefault="001946E0" w:rsidP="00752742">
            <w:pPr>
              <w:jc w:val="both"/>
              <w:rPr>
                <w:rFonts w:ascii="Calibri" w:hAnsi="Calibri"/>
                <w:b/>
                <w:szCs w:val="22"/>
              </w:rPr>
            </w:pPr>
          </w:p>
          <w:p w14:paraId="7F21DA73" w14:textId="77777777" w:rsidR="00D62664" w:rsidRPr="009E3591" w:rsidRDefault="00D62664" w:rsidP="00D62664">
            <w:pPr>
              <w:pStyle w:val="Header"/>
              <w:contextualSpacing/>
              <w:jc w:val="both"/>
              <w:rPr>
                <w:rFonts w:ascii="CIDFont+F2" w:eastAsia="CIDFont+F4" w:hAnsi="CIDFont+F2" w:cs="CIDFont+F2"/>
                <w:szCs w:val="22"/>
                <w:u w:val="single"/>
                <w:lang w:eastAsia="en-GB"/>
              </w:rPr>
            </w:pPr>
            <w:r w:rsidRPr="009E3591">
              <w:rPr>
                <w:rFonts w:ascii="CIDFont+F2" w:eastAsia="CIDFont+F4" w:hAnsi="CIDFont+F2" w:cs="CIDFont+F2"/>
                <w:szCs w:val="22"/>
                <w:u w:val="single"/>
                <w:lang w:eastAsia="en-GB"/>
              </w:rPr>
              <w:t>National Planning Policy Framework (NPPF)</w:t>
            </w:r>
          </w:p>
          <w:p w14:paraId="761C8ECD" w14:textId="77777777" w:rsidR="00D62664" w:rsidRPr="008C75E4" w:rsidRDefault="00D62664" w:rsidP="00752742">
            <w:pPr>
              <w:jc w:val="both"/>
              <w:rPr>
                <w:rFonts w:ascii="Calibri" w:hAnsi="Calibri"/>
                <w:b/>
                <w:szCs w:val="22"/>
              </w:rPr>
            </w:pPr>
          </w:p>
        </w:tc>
      </w:tr>
      <w:tr w:rsidR="008C75E4" w:rsidRPr="008C75E4" w14:paraId="1B8963EC" w14:textId="77777777" w:rsidTr="00665A44">
        <w:trPr>
          <w:trHeight w:val="864"/>
          <w:jc w:val="center"/>
        </w:trPr>
        <w:tc>
          <w:tcPr>
            <w:tcW w:w="9640" w:type="dxa"/>
            <w:gridSpan w:val="13"/>
            <w:tcBorders>
              <w:bottom w:val="single" w:sz="4" w:space="0" w:color="BFBFBF" w:themeColor="background1" w:themeShade="BF"/>
            </w:tcBorders>
            <w:tcMar>
              <w:top w:w="57" w:type="dxa"/>
              <w:bottom w:w="57" w:type="dxa"/>
            </w:tcMar>
          </w:tcPr>
          <w:p w14:paraId="3763F995" w14:textId="77777777"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4FE2A147" w14:textId="77777777" w:rsidR="004A2E05" w:rsidRDefault="004A2E05" w:rsidP="006126D1">
            <w:pPr>
              <w:pStyle w:val="PLANNING"/>
              <w:rPr>
                <w:rFonts w:ascii="Calibri" w:hAnsi="Calibri"/>
                <w:b/>
                <w:bCs/>
                <w:szCs w:val="22"/>
              </w:rPr>
            </w:pPr>
          </w:p>
          <w:p w14:paraId="4A859A47" w14:textId="65668FE1" w:rsidR="00D62664" w:rsidRPr="00F2176C" w:rsidRDefault="00BE68D1" w:rsidP="006126D1">
            <w:pPr>
              <w:pStyle w:val="PLANNING"/>
              <w:rPr>
                <w:rFonts w:ascii="Calibri" w:hAnsi="Calibri"/>
                <w:szCs w:val="22"/>
              </w:rPr>
            </w:pPr>
            <w:r w:rsidRPr="00F2176C">
              <w:rPr>
                <w:rFonts w:ascii="Calibri" w:hAnsi="Calibri"/>
                <w:szCs w:val="22"/>
              </w:rPr>
              <w:t>3/1991/0052 – Removal of Condition no. 3 (Removal of restriction on operating hours) application no 3/83/0389 – Approved no conditions.</w:t>
            </w:r>
          </w:p>
          <w:p w14:paraId="77528E5F" w14:textId="77777777" w:rsidR="00BE68D1" w:rsidRPr="00F2176C" w:rsidRDefault="00BE68D1" w:rsidP="006126D1">
            <w:pPr>
              <w:pStyle w:val="PLANNING"/>
              <w:rPr>
                <w:rFonts w:ascii="Calibri" w:hAnsi="Calibri"/>
                <w:szCs w:val="22"/>
              </w:rPr>
            </w:pPr>
          </w:p>
          <w:p w14:paraId="4D168C25" w14:textId="5EA691F9" w:rsidR="00BE68D1" w:rsidRPr="00F2176C" w:rsidRDefault="00BE68D1" w:rsidP="006126D1">
            <w:pPr>
              <w:pStyle w:val="PLANNING"/>
              <w:rPr>
                <w:rFonts w:ascii="Calibri" w:hAnsi="Calibri"/>
                <w:szCs w:val="22"/>
              </w:rPr>
            </w:pPr>
            <w:r w:rsidRPr="00F2176C">
              <w:rPr>
                <w:rFonts w:ascii="Calibri" w:hAnsi="Calibri"/>
                <w:szCs w:val="22"/>
              </w:rPr>
              <w:t>3/1988/0504 –</w:t>
            </w:r>
            <w:r w:rsidR="00F2176C" w:rsidRPr="00F2176C">
              <w:rPr>
                <w:rFonts w:ascii="Calibri" w:hAnsi="Calibri"/>
                <w:szCs w:val="22"/>
              </w:rPr>
              <w:t>Rebuilding of existing industrial building units 6, 7 &amp; 8 – Approved with conditions.</w:t>
            </w:r>
          </w:p>
          <w:p w14:paraId="450C5352" w14:textId="77777777" w:rsidR="00BE68D1" w:rsidRPr="00F2176C" w:rsidRDefault="00BE68D1" w:rsidP="006126D1">
            <w:pPr>
              <w:pStyle w:val="PLANNING"/>
              <w:rPr>
                <w:rFonts w:ascii="Calibri" w:hAnsi="Calibri"/>
                <w:szCs w:val="22"/>
              </w:rPr>
            </w:pPr>
          </w:p>
          <w:p w14:paraId="4B27C096" w14:textId="447986AA" w:rsidR="00BE68D1" w:rsidRDefault="00BE68D1" w:rsidP="006126D1">
            <w:pPr>
              <w:pStyle w:val="PLANNING"/>
              <w:rPr>
                <w:rFonts w:ascii="Calibri" w:hAnsi="Calibri"/>
                <w:szCs w:val="22"/>
              </w:rPr>
            </w:pPr>
            <w:r w:rsidRPr="00F2176C">
              <w:rPr>
                <w:rFonts w:ascii="Calibri" w:hAnsi="Calibri"/>
                <w:szCs w:val="22"/>
              </w:rPr>
              <w:t>3/1988/00</w:t>
            </w:r>
            <w:r w:rsidR="002B4C9F">
              <w:rPr>
                <w:rFonts w:ascii="Calibri" w:hAnsi="Calibri"/>
                <w:szCs w:val="22"/>
              </w:rPr>
              <w:t>69 –</w:t>
            </w:r>
            <w:r w:rsidR="00AE4378">
              <w:rPr>
                <w:rFonts w:ascii="Calibri" w:hAnsi="Calibri"/>
                <w:szCs w:val="22"/>
              </w:rPr>
              <w:t xml:space="preserve"> Rebuilding of existing Industrial Building &amp; Sub- Division into Three Industrial Units – Refused. </w:t>
            </w:r>
          </w:p>
          <w:p w14:paraId="3A8CD4DD" w14:textId="77777777" w:rsidR="00BE68D1" w:rsidRPr="00F2176C" w:rsidRDefault="00BE68D1" w:rsidP="006126D1">
            <w:pPr>
              <w:pStyle w:val="PLANNING"/>
              <w:rPr>
                <w:rFonts w:ascii="Calibri" w:hAnsi="Calibri"/>
                <w:szCs w:val="22"/>
              </w:rPr>
            </w:pPr>
          </w:p>
          <w:p w14:paraId="297AF6CF" w14:textId="64D6D91E" w:rsidR="00BE68D1" w:rsidRDefault="00BE68D1" w:rsidP="006126D1">
            <w:pPr>
              <w:pStyle w:val="PLANNING"/>
              <w:rPr>
                <w:rFonts w:ascii="Calibri" w:hAnsi="Calibri"/>
                <w:szCs w:val="22"/>
              </w:rPr>
            </w:pPr>
            <w:r w:rsidRPr="00F2176C">
              <w:rPr>
                <w:rFonts w:ascii="Calibri" w:hAnsi="Calibri"/>
                <w:szCs w:val="22"/>
              </w:rPr>
              <w:lastRenderedPageBreak/>
              <w:t>3/1987/0</w:t>
            </w:r>
            <w:r w:rsidR="002B4C9F">
              <w:rPr>
                <w:rFonts w:ascii="Calibri" w:hAnsi="Calibri"/>
                <w:szCs w:val="22"/>
              </w:rPr>
              <w:t>3</w:t>
            </w:r>
            <w:r w:rsidRPr="00F2176C">
              <w:rPr>
                <w:rFonts w:ascii="Calibri" w:hAnsi="Calibri"/>
                <w:szCs w:val="22"/>
              </w:rPr>
              <w:t>65</w:t>
            </w:r>
            <w:r w:rsidR="002B4C9F">
              <w:rPr>
                <w:rFonts w:ascii="Calibri" w:hAnsi="Calibri"/>
                <w:szCs w:val="22"/>
              </w:rPr>
              <w:t xml:space="preserve"> –</w:t>
            </w:r>
            <w:r w:rsidR="00AE4378">
              <w:rPr>
                <w:rFonts w:ascii="Calibri" w:hAnsi="Calibri"/>
                <w:szCs w:val="22"/>
              </w:rPr>
              <w:t xml:space="preserve"> </w:t>
            </w:r>
            <w:r w:rsidR="00B00E66">
              <w:rPr>
                <w:rFonts w:ascii="Calibri" w:hAnsi="Calibri"/>
                <w:szCs w:val="22"/>
              </w:rPr>
              <w:t>Reserved Matters of 3/1986/0708 Erection of Two Industrial Units 15 and 16 – Approved with conditions.</w:t>
            </w:r>
          </w:p>
          <w:p w14:paraId="655DA44B" w14:textId="77777777" w:rsidR="002B4C9F" w:rsidRDefault="002B4C9F" w:rsidP="006126D1">
            <w:pPr>
              <w:pStyle w:val="PLANNING"/>
              <w:rPr>
                <w:rFonts w:ascii="Calibri" w:hAnsi="Calibri"/>
                <w:szCs w:val="22"/>
              </w:rPr>
            </w:pPr>
          </w:p>
          <w:p w14:paraId="14B99563" w14:textId="2A29E1FC" w:rsidR="00B00E66" w:rsidRPr="00F2176C" w:rsidRDefault="00B00E66" w:rsidP="006126D1">
            <w:pPr>
              <w:pStyle w:val="PLANNING"/>
              <w:rPr>
                <w:rFonts w:ascii="Calibri" w:hAnsi="Calibri"/>
                <w:szCs w:val="22"/>
              </w:rPr>
            </w:pPr>
            <w:r>
              <w:rPr>
                <w:rFonts w:ascii="Calibri" w:hAnsi="Calibri"/>
                <w:szCs w:val="22"/>
              </w:rPr>
              <w:t>3/1986/0708 – Outline Erection of Two Industrial Units – Approved.</w:t>
            </w:r>
          </w:p>
          <w:p w14:paraId="116AD4F6" w14:textId="77777777" w:rsidR="00BE68D1" w:rsidRDefault="00BE68D1" w:rsidP="006126D1">
            <w:pPr>
              <w:pStyle w:val="PLANNING"/>
              <w:rPr>
                <w:rFonts w:ascii="Calibri" w:hAnsi="Calibri"/>
                <w:b/>
                <w:bCs/>
                <w:szCs w:val="22"/>
              </w:rPr>
            </w:pPr>
          </w:p>
          <w:p w14:paraId="6D84D288" w14:textId="5DFE9615" w:rsidR="00BE68D1" w:rsidRDefault="00BE68D1" w:rsidP="006126D1">
            <w:pPr>
              <w:pStyle w:val="PLANNING"/>
              <w:rPr>
                <w:rFonts w:ascii="Calibri" w:hAnsi="Calibri"/>
                <w:szCs w:val="22"/>
              </w:rPr>
            </w:pPr>
            <w:r w:rsidRPr="00F2176C">
              <w:rPr>
                <w:rFonts w:ascii="Calibri" w:hAnsi="Calibri"/>
                <w:szCs w:val="22"/>
              </w:rPr>
              <w:t>3/1987/0095 –</w:t>
            </w:r>
            <w:r w:rsidR="00F2176C">
              <w:rPr>
                <w:rFonts w:ascii="Calibri" w:hAnsi="Calibri"/>
                <w:szCs w:val="22"/>
              </w:rPr>
              <w:t xml:space="preserve"> Erection of industrial unit (outline) – </w:t>
            </w:r>
            <w:r w:rsidR="002B4C9F">
              <w:rPr>
                <w:rFonts w:ascii="Calibri" w:hAnsi="Calibri"/>
                <w:szCs w:val="22"/>
              </w:rPr>
              <w:t>Refused due</w:t>
            </w:r>
            <w:r w:rsidR="00F2176C">
              <w:rPr>
                <w:rFonts w:ascii="Calibri" w:hAnsi="Calibri"/>
                <w:szCs w:val="22"/>
              </w:rPr>
              <w:t xml:space="preserve"> to overdevelopment with no car parking facilities and extend the </w:t>
            </w:r>
            <w:r w:rsidR="008F1F67">
              <w:rPr>
                <w:rFonts w:ascii="Calibri" w:hAnsi="Calibri"/>
                <w:szCs w:val="22"/>
              </w:rPr>
              <w:t>built-up</w:t>
            </w:r>
            <w:r w:rsidR="00F2176C">
              <w:rPr>
                <w:rFonts w:ascii="Calibri" w:hAnsi="Calibri"/>
                <w:szCs w:val="22"/>
              </w:rPr>
              <w:t xml:space="preserve"> area to the western boundary </w:t>
            </w:r>
          </w:p>
          <w:p w14:paraId="235A72E1" w14:textId="77777777" w:rsidR="00BE68D1" w:rsidRPr="00F2176C" w:rsidRDefault="00BE68D1" w:rsidP="006126D1">
            <w:pPr>
              <w:pStyle w:val="PLANNING"/>
              <w:rPr>
                <w:rFonts w:ascii="Calibri" w:hAnsi="Calibri"/>
                <w:szCs w:val="22"/>
              </w:rPr>
            </w:pPr>
          </w:p>
          <w:p w14:paraId="1071ECB3" w14:textId="3C7AAABA" w:rsidR="00BE68D1" w:rsidRDefault="00BE68D1" w:rsidP="006126D1">
            <w:pPr>
              <w:pStyle w:val="PLANNING"/>
              <w:rPr>
                <w:rFonts w:ascii="Calibri" w:hAnsi="Calibri"/>
                <w:szCs w:val="22"/>
              </w:rPr>
            </w:pPr>
            <w:r w:rsidRPr="00F2176C">
              <w:rPr>
                <w:rFonts w:ascii="Calibri" w:hAnsi="Calibri"/>
                <w:szCs w:val="22"/>
              </w:rPr>
              <w:t>3/1986/0037 –</w:t>
            </w:r>
            <w:r w:rsidR="00F2176C">
              <w:rPr>
                <w:rFonts w:ascii="Calibri" w:hAnsi="Calibri"/>
                <w:szCs w:val="22"/>
              </w:rPr>
              <w:t xml:space="preserve"> Erection of garage/workshop </w:t>
            </w:r>
            <w:r w:rsidR="00ED18C0">
              <w:rPr>
                <w:rFonts w:ascii="Calibri" w:hAnsi="Calibri"/>
                <w:szCs w:val="22"/>
              </w:rPr>
              <w:t>–</w:t>
            </w:r>
            <w:r w:rsidR="00F2176C">
              <w:rPr>
                <w:rFonts w:ascii="Calibri" w:hAnsi="Calibri"/>
                <w:szCs w:val="22"/>
              </w:rPr>
              <w:t xml:space="preserve"> </w:t>
            </w:r>
            <w:r w:rsidR="00ED18C0">
              <w:rPr>
                <w:rFonts w:ascii="Calibri" w:hAnsi="Calibri"/>
                <w:szCs w:val="22"/>
              </w:rPr>
              <w:t>Approved with conditions.</w:t>
            </w:r>
          </w:p>
          <w:p w14:paraId="64BC6D7F" w14:textId="77777777" w:rsidR="00ED18C0" w:rsidRPr="00F2176C" w:rsidRDefault="00ED18C0" w:rsidP="006126D1">
            <w:pPr>
              <w:pStyle w:val="PLANNING"/>
              <w:rPr>
                <w:rFonts w:ascii="Calibri" w:hAnsi="Calibri"/>
                <w:szCs w:val="22"/>
              </w:rPr>
            </w:pPr>
          </w:p>
          <w:p w14:paraId="5D5D5D96" w14:textId="6B7447AF" w:rsidR="00BE68D1" w:rsidRPr="00F2176C" w:rsidRDefault="00BE68D1" w:rsidP="006126D1">
            <w:pPr>
              <w:pStyle w:val="PLANNING"/>
              <w:rPr>
                <w:rFonts w:ascii="Calibri" w:hAnsi="Calibri"/>
                <w:szCs w:val="22"/>
              </w:rPr>
            </w:pPr>
            <w:r w:rsidRPr="00F2176C">
              <w:rPr>
                <w:rFonts w:ascii="Calibri" w:hAnsi="Calibri"/>
                <w:szCs w:val="22"/>
              </w:rPr>
              <w:t>3/1983/0389 –</w:t>
            </w:r>
            <w:r w:rsidR="00ED18C0">
              <w:rPr>
                <w:rFonts w:ascii="Calibri" w:hAnsi="Calibri"/>
                <w:szCs w:val="22"/>
              </w:rPr>
              <w:t xml:space="preserve"> Use of premises at the rear of the site as a joiner’s and building contractor’s yard – Approved with conditions including use with no retail to public, hours 8am to 6pm Monday to Friday, 8am to 1pm Saturday not Sunday, bank or national holidays, all goods and materials to be stored within the building and no outside storage</w:t>
            </w:r>
          </w:p>
          <w:p w14:paraId="42539509" w14:textId="08FBF306" w:rsidR="004A2E05" w:rsidRPr="001946E0" w:rsidRDefault="004A2E05" w:rsidP="00454754">
            <w:pPr>
              <w:pStyle w:val="PLANNING"/>
              <w:rPr>
                <w:rFonts w:ascii="Calibri" w:hAnsi="Calibri"/>
                <w:bCs/>
                <w:szCs w:val="22"/>
              </w:rPr>
            </w:pPr>
          </w:p>
        </w:tc>
      </w:tr>
      <w:tr w:rsidR="008C75E4" w:rsidRPr="008C75E4" w14:paraId="08AD89CB" w14:textId="77777777" w:rsidTr="00665A44">
        <w:trPr>
          <w:trHeight w:hRule="exact" w:val="144"/>
          <w:jc w:val="center"/>
        </w:trPr>
        <w:tc>
          <w:tcPr>
            <w:tcW w:w="9640" w:type="dxa"/>
            <w:gridSpan w:val="13"/>
            <w:tcBorders>
              <w:left w:val="nil"/>
              <w:right w:val="nil"/>
            </w:tcBorders>
            <w:tcMar>
              <w:top w:w="57" w:type="dxa"/>
              <w:bottom w:w="57" w:type="dxa"/>
            </w:tcMar>
          </w:tcPr>
          <w:p w14:paraId="00CB0C8F" w14:textId="77777777" w:rsidR="003F16AA" w:rsidRPr="00504440" w:rsidRDefault="003F16AA" w:rsidP="00504440">
            <w:pPr>
              <w:rPr>
                <w:sz w:val="4"/>
                <w:szCs w:val="4"/>
              </w:rPr>
            </w:pPr>
          </w:p>
        </w:tc>
      </w:tr>
      <w:tr w:rsidR="008C75E4" w:rsidRPr="008C75E4" w14:paraId="045ACBEC" w14:textId="77777777" w:rsidTr="00665A44">
        <w:trPr>
          <w:jc w:val="center"/>
        </w:trPr>
        <w:tc>
          <w:tcPr>
            <w:tcW w:w="9640" w:type="dxa"/>
            <w:gridSpan w:val="13"/>
            <w:tcMar>
              <w:top w:w="57" w:type="dxa"/>
              <w:bottom w:w="57" w:type="dxa"/>
            </w:tcMar>
          </w:tcPr>
          <w:p w14:paraId="048BDAF0"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FCBACCD" w14:textId="77777777" w:rsidTr="00665A44">
        <w:trPr>
          <w:trHeight w:val="1152"/>
          <w:jc w:val="center"/>
        </w:trPr>
        <w:tc>
          <w:tcPr>
            <w:tcW w:w="9640" w:type="dxa"/>
            <w:gridSpan w:val="13"/>
            <w:tcMar>
              <w:top w:w="57" w:type="dxa"/>
              <w:bottom w:w="57" w:type="dxa"/>
            </w:tcMar>
          </w:tcPr>
          <w:p w14:paraId="2A4DC456"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4A8ABEC" w14:textId="77777777" w:rsidR="004A2E05" w:rsidRDefault="004A2E05" w:rsidP="00454754">
            <w:pPr>
              <w:pStyle w:val="Header"/>
              <w:tabs>
                <w:tab w:val="clear" w:pos="4153"/>
                <w:tab w:val="clear" w:pos="8306"/>
              </w:tabs>
              <w:contextualSpacing/>
              <w:jc w:val="both"/>
              <w:rPr>
                <w:rFonts w:ascii="Calibri" w:hAnsi="Calibri"/>
                <w:b/>
                <w:szCs w:val="22"/>
              </w:rPr>
            </w:pPr>
          </w:p>
          <w:p w14:paraId="0471DDCB" w14:textId="0E024C05" w:rsidR="002C0C20" w:rsidRPr="002C0C20" w:rsidRDefault="002C0C20" w:rsidP="002C0C20">
            <w:pPr>
              <w:pStyle w:val="Header"/>
              <w:contextualSpacing/>
              <w:jc w:val="both"/>
              <w:rPr>
                <w:rFonts w:ascii="Calibri" w:hAnsi="Calibri"/>
                <w:szCs w:val="22"/>
              </w:rPr>
            </w:pPr>
            <w:r w:rsidRPr="002C0C20">
              <w:rPr>
                <w:rFonts w:ascii="Calibri" w:hAnsi="Calibri"/>
                <w:szCs w:val="22"/>
              </w:rPr>
              <w:t xml:space="preserve">The site </w:t>
            </w:r>
            <w:r w:rsidR="00760861">
              <w:rPr>
                <w:rFonts w:ascii="Calibri" w:hAnsi="Calibri"/>
                <w:szCs w:val="22"/>
              </w:rPr>
              <w:t>l</w:t>
            </w:r>
            <w:r w:rsidR="00190F44">
              <w:rPr>
                <w:rFonts w:ascii="Calibri" w:hAnsi="Calibri"/>
                <w:szCs w:val="22"/>
              </w:rPr>
              <w:t xml:space="preserve">ies within the settlement boundary of Ramsgreave and </w:t>
            </w:r>
            <w:r w:rsidRPr="002C0C20">
              <w:rPr>
                <w:rFonts w:ascii="Calibri" w:hAnsi="Calibri"/>
                <w:szCs w:val="22"/>
              </w:rPr>
              <w:t xml:space="preserve">forms part of an industrial area off </w:t>
            </w:r>
            <w:r w:rsidR="00BE68D1">
              <w:rPr>
                <w:rFonts w:ascii="Calibri" w:hAnsi="Calibri"/>
                <w:szCs w:val="22"/>
              </w:rPr>
              <w:t xml:space="preserve">Pleckgate </w:t>
            </w:r>
            <w:r w:rsidRPr="002C0C20">
              <w:rPr>
                <w:rFonts w:ascii="Calibri" w:hAnsi="Calibri"/>
                <w:szCs w:val="22"/>
              </w:rPr>
              <w:t xml:space="preserve">Road </w:t>
            </w:r>
            <w:r w:rsidR="00343822">
              <w:rPr>
                <w:rFonts w:ascii="Calibri" w:hAnsi="Calibri"/>
                <w:szCs w:val="22"/>
              </w:rPr>
              <w:t xml:space="preserve">which is an existing employment site as designated in Policy DMB1 </w:t>
            </w:r>
            <w:r w:rsidRPr="002C0C20">
              <w:rPr>
                <w:rFonts w:ascii="Calibri" w:hAnsi="Calibri"/>
                <w:szCs w:val="22"/>
              </w:rPr>
              <w:t xml:space="preserve">and is occupied by </w:t>
            </w:r>
            <w:r w:rsidR="00343822">
              <w:rPr>
                <w:rFonts w:ascii="Calibri" w:hAnsi="Calibri"/>
                <w:szCs w:val="22"/>
              </w:rPr>
              <w:t xml:space="preserve">a number of different units and </w:t>
            </w:r>
            <w:r w:rsidR="00567056">
              <w:rPr>
                <w:rFonts w:ascii="Calibri" w:hAnsi="Calibri"/>
                <w:szCs w:val="22"/>
              </w:rPr>
              <w:t xml:space="preserve">a large brick built structure currently in use as B2 general industrial with some element of storage and distribution (Use Class B8) of around 1163 sq.m. </w:t>
            </w:r>
          </w:p>
          <w:p w14:paraId="1F56559B" w14:textId="77777777" w:rsidR="002C0C20" w:rsidRPr="002C0C20" w:rsidRDefault="002C0C20" w:rsidP="00454754">
            <w:pPr>
              <w:pStyle w:val="Header"/>
              <w:tabs>
                <w:tab w:val="clear" w:pos="4153"/>
                <w:tab w:val="clear" w:pos="8306"/>
              </w:tabs>
              <w:contextualSpacing/>
              <w:jc w:val="both"/>
              <w:rPr>
                <w:rFonts w:ascii="Calibri" w:hAnsi="Calibri"/>
                <w:szCs w:val="22"/>
              </w:rPr>
            </w:pPr>
          </w:p>
          <w:p w14:paraId="28272537" w14:textId="69558A86" w:rsidR="00343822" w:rsidRDefault="00343822" w:rsidP="002C0C20">
            <w:pPr>
              <w:pStyle w:val="Header"/>
              <w:contextualSpacing/>
              <w:jc w:val="both"/>
              <w:rPr>
                <w:rFonts w:ascii="Calibri" w:hAnsi="Calibri"/>
                <w:szCs w:val="22"/>
              </w:rPr>
            </w:pPr>
            <w:r>
              <w:rPr>
                <w:rFonts w:ascii="Calibri" w:hAnsi="Calibri"/>
                <w:szCs w:val="22"/>
              </w:rPr>
              <w:t>T</w:t>
            </w:r>
            <w:r w:rsidR="002C0C20" w:rsidRPr="002C0C20">
              <w:rPr>
                <w:rFonts w:ascii="Calibri" w:hAnsi="Calibri"/>
                <w:szCs w:val="22"/>
              </w:rPr>
              <w:t xml:space="preserve">he </w:t>
            </w:r>
            <w:r w:rsidR="00567056">
              <w:rPr>
                <w:rFonts w:ascii="Calibri" w:hAnsi="Calibri"/>
                <w:szCs w:val="22"/>
              </w:rPr>
              <w:t xml:space="preserve">wider </w:t>
            </w:r>
            <w:r w:rsidR="002C0C20" w:rsidRPr="002C0C20">
              <w:rPr>
                <w:rFonts w:ascii="Calibri" w:hAnsi="Calibri"/>
                <w:szCs w:val="22"/>
              </w:rPr>
              <w:t xml:space="preserve">site </w:t>
            </w:r>
            <w:r>
              <w:rPr>
                <w:rFonts w:ascii="Calibri" w:hAnsi="Calibri"/>
                <w:szCs w:val="22"/>
              </w:rPr>
              <w:t xml:space="preserve">has been subject to previous applications for similar uses in </w:t>
            </w:r>
            <w:r w:rsidR="00567056">
              <w:rPr>
                <w:rFonts w:ascii="Calibri" w:hAnsi="Calibri"/>
                <w:szCs w:val="22"/>
              </w:rPr>
              <w:t>purpose-built</w:t>
            </w:r>
            <w:r>
              <w:rPr>
                <w:rFonts w:ascii="Calibri" w:hAnsi="Calibri"/>
                <w:szCs w:val="22"/>
              </w:rPr>
              <w:t xml:space="preserve"> units.</w:t>
            </w:r>
          </w:p>
          <w:p w14:paraId="16A0E7C3" w14:textId="77777777" w:rsidR="00343822" w:rsidRDefault="00343822" w:rsidP="002C0C20">
            <w:pPr>
              <w:pStyle w:val="Header"/>
              <w:contextualSpacing/>
              <w:jc w:val="both"/>
              <w:rPr>
                <w:rFonts w:ascii="Calibri" w:hAnsi="Calibri"/>
                <w:szCs w:val="22"/>
              </w:rPr>
            </w:pPr>
          </w:p>
          <w:p w14:paraId="0B981F3A" w14:textId="13016FED" w:rsidR="002C0C20" w:rsidRDefault="00343822" w:rsidP="002C0C20">
            <w:pPr>
              <w:pStyle w:val="Header"/>
              <w:contextualSpacing/>
              <w:jc w:val="both"/>
              <w:rPr>
                <w:rFonts w:ascii="Calibri" w:hAnsi="Calibri"/>
                <w:szCs w:val="22"/>
              </w:rPr>
            </w:pPr>
            <w:r>
              <w:rPr>
                <w:rFonts w:ascii="Calibri" w:hAnsi="Calibri"/>
                <w:szCs w:val="22"/>
              </w:rPr>
              <w:t>Whilst th</w:t>
            </w:r>
            <w:r w:rsidR="00190F44">
              <w:rPr>
                <w:rFonts w:ascii="Calibri" w:hAnsi="Calibri"/>
                <w:szCs w:val="22"/>
              </w:rPr>
              <w:t xml:space="preserve">e existing </w:t>
            </w:r>
            <w:r>
              <w:rPr>
                <w:rFonts w:ascii="Calibri" w:hAnsi="Calibri"/>
                <w:szCs w:val="22"/>
              </w:rPr>
              <w:t xml:space="preserve">building has some </w:t>
            </w:r>
            <w:r w:rsidR="00190F44">
              <w:rPr>
                <w:rFonts w:ascii="Calibri" w:hAnsi="Calibri"/>
                <w:szCs w:val="22"/>
              </w:rPr>
              <w:t xml:space="preserve">heritage </w:t>
            </w:r>
            <w:r>
              <w:rPr>
                <w:rFonts w:ascii="Calibri" w:hAnsi="Calibri"/>
                <w:szCs w:val="22"/>
              </w:rPr>
              <w:t xml:space="preserve">merit in terms of </w:t>
            </w:r>
            <w:r w:rsidR="00190F44">
              <w:rPr>
                <w:rFonts w:ascii="Calibri" w:hAnsi="Calibri"/>
                <w:szCs w:val="22"/>
              </w:rPr>
              <w:t xml:space="preserve">historical use </w:t>
            </w:r>
            <w:r>
              <w:rPr>
                <w:rFonts w:ascii="Calibri" w:hAnsi="Calibri"/>
                <w:szCs w:val="22"/>
              </w:rPr>
              <w:t xml:space="preserve">it is not </w:t>
            </w:r>
            <w:r w:rsidR="00190F44">
              <w:rPr>
                <w:rFonts w:ascii="Calibri" w:hAnsi="Calibri"/>
                <w:szCs w:val="22"/>
              </w:rPr>
              <w:t xml:space="preserve">a </w:t>
            </w:r>
            <w:r>
              <w:rPr>
                <w:rFonts w:ascii="Calibri" w:hAnsi="Calibri"/>
                <w:szCs w:val="22"/>
              </w:rPr>
              <w:t xml:space="preserve">listed </w:t>
            </w:r>
            <w:r w:rsidR="00190F44">
              <w:rPr>
                <w:rFonts w:ascii="Calibri" w:hAnsi="Calibri"/>
                <w:szCs w:val="22"/>
              </w:rPr>
              <w:t xml:space="preserve">building </w:t>
            </w:r>
            <w:r>
              <w:rPr>
                <w:rFonts w:ascii="Calibri" w:hAnsi="Calibri"/>
                <w:szCs w:val="22"/>
              </w:rPr>
              <w:t xml:space="preserve">and nor is it sited within a conservation area and therefore the case for </w:t>
            </w:r>
            <w:r w:rsidR="00190F44">
              <w:rPr>
                <w:rFonts w:ascii="Calibri" w:hAnsi="Calibri"/>
                <w:szCs w:val="22"/>
              </w:rPr>
              <w:t xml:space="preserve">its </w:t>
            </w:r>
            <w:r>
              <w:rPr>
                <w:rFonts w:ascii="Calibri" w:hAnsi="Calibri"/>
                <w:szCs w:val="22"/>
              </w:rPr>
              <w:t xml:space="preserve">retention is limited. </w:t>
            </w:r>
          </w:p>
          <w:p w14:paraId="7BA4AD31" w14:textId="77777777" w:rsidR="00567056" w:rsidRDefault="00567056" w:rsidP="002C0C20">
            <w:pPr>
              <w:pStyle w:val="Header"/>
              <w:contextualSpacing/>
              <w:jc w:val="both"/>
              <w:rPr>
                <w:rFonts w:ascii="Calibri" w:hAnsi="Calibri"/>
                <w:szCs w:val="22"/>
              </w:rPr>
            </w:pPr>
          </w:p>
          <w:p w14:paraId="32F2D4C3" w14:textId="3C505D8F" w:rsidR="00567056" w:rsidRDefault="00567056" w:rsidP="002C0C20">
            <w:pPr>
              <w:pStyle w:val="Header"/>
              <w:contextualSpacing/>
              <w:jc w:val="both"/>
              <w:rPr>
                <w:rFonts w:ascii="Calibri" w:hAnsi="Calibri"/>
                <w:szCs w:val="22"/>
              </w:rPr>
            </w:pPr>
            <w:r>
              <w:rPr>
                <w:rFonts w:ascii="Calibri" w:hAnsi="Calibri"/>
                <w:szCs w:val="22"/>
              </w:rPr>
              <w:t>Footpath 3-33-FP3 runs along the road to the north and east of the application site and would not be affected by this proposal.</w:t>
            </w:r>
          </w:p>
          <w:p w14:paraId="41DBA359" w14:textId="77777777" w:rsidR="00343822" w:rsidRDefault="00343822" w:rsidP="002C0C20">
            <w:pPr>
              <w:pStyle w:val="Header"/>
              <w:contextualSpacing/>
              <w:jc w:val="both"/>
              <w:rPr>
                <w:rFonts w:ascii="Calibri" w:hAnsi="Calibri"/>
                <w:szCs w:val="22"/>
              </w:rPr>
            </w:pPr>
          </w:p>
          <w:p w14:paraId="520D82CF" w14:textId="1CF85F57" w:rsidR="00343822" w:rsidRDefault="00343822" w:rsidP="002C0C20">
            <w:pPr>
              <w:pStyle w:val="Header"/>
              <w:contextualSpacing/>
              <w:jc w:val="both"/>
              <w:rPr>
                <w:rFonts w:ascii="Calibri" w:hAnsi="Calibri"/>
                <w:szCs w:val="22"/>
              </w:rPr>
            </w:pPr>
            <w:r>
              <w:rPr>
                <w:rFonts w:ascii="Calibri" w:hAnsi="Calibri"/>
                <w:szCs w:val="22"/>
              </w:rPr>
              <w:t>Haydock Nursing Home is sited 5</w:t>
            </w:r>
            <w:r w:rsidR="00190F44">
              <w:rPr>
                <w:rFonts w:ascii="Calibri" w:hAnsi="Calibri"/>
                <w:szCs w:val="22"/>
              </w:rPr>
              <w:t>0</w:t>
            </w:r>
            <w:r>
              <w:rPr>
                <w:rFonts w:ascii="Calibri" w:hAnsi="Calibri"/>
                <w:szCs w:val="22"/>
              </w:rPr>
              <w:t xml:space="preserve">m to the </w:t>
            </w:r>
            <w:r w:rsidR="00567056">
              <w:rPr>
                <w:rFonts w:ascii="Calibri" w:hAnsi="Calibri"/>
                <w:szCs w:val="22"/>
              </w:rPr>
              <w:t>northeast</w:t>
            </w:r>
            <w:r>
              <w:rPr>
                <w:rFonts w:ascii="Calibri" w:hAnsi="Calibri"/>
                <w:szCs w:val="22"/>
              </w:rPr>
              <w:t xml:space="preserve"> as well as modern residential units to the east and south</w:t>
            </w:r>
            <w:r w:rsidR="00190F44">
              <w:rPr>
                <w:rFonts w:ascii="Calibri" w:hAnsi="Calibri"/>
                <w:szCs w:val="22"/>
              </w:rPr>
              <w:t xml:space="preserve"> with the nearest being 15m to the south</w:t>
            </w:r>
            <w:r>
              <w:rPr>
                <w:rFonts w:ascii="Calibri" w:hAnsi="Calibri"/>
                <w:szCs w:val="22"/>
              </w:rPr>
              <w:t>.  Brook Farm lies 1</w:t>
            </w:r>
            <w:r w:rsidR="00190F44">
              <w:rPr>
                <w:rFonts w:ascii="Calibri" w:hAnsi="Calibri"/>
                <w:szCs w:val="22"/>
              </w:rPr>
              <w:t>20</w:t>
            </w:r>
            <w:r>
              <w:rPr>
                <w:rFonts w:ascii="Calibri" w:hAnsi="Calibri"/>
                <w:szCs w:val="22"/>
              </w:rPr>
              <w:t xml:space="preserve">m to the </w:t>
            </w:r>
            <w:r w:rsidR="00567056">
              <w:rPr>
                <w:rFonts w:ascii="Calibri" w:hAnsi="Calibri"/>
                <w:szCs w:val="22"/>
              </w:rPr>
              <w:t>northwest</w:t>
            </w:r>
            <w:r>
              <w:rPr>
                <w:rFonts w:ascii="Calibri" w:hAnsi="Calibri"/>
                <w:szCs w:val="22"/>
              </w:rPr>
              <w:t>.</w:t>
            </w:r>
          </w:p>
          <w:p w14:paraId="4E1ED484" w14:textId="77777777" w:rsidR="005F7A80" w:rsidRPr="002C0C20" w:rsidRDefault="005F7A80" w:rsidP="002C0C20">
            <w:pPr>
              <w:pStyle w:val="Header"/>
              <w:contextualSpacing/>
              <w:jc w:val="both"/>
              <w:rPr>
                <w:rFonts w:ascii="Calibri" w:hAnsi="Calibri"/>
                <w:szCs w:val="22"/>
              </w:rPr>
            </w:pPr>
          </w:p>
        </w:tc>
      </w:tr>
      <w:tr w:rsidR="008C75E4" w:rsidRPr="008C75E4" w14:paraId="14819079" w14:textId="77777777" w:rsidTr="00665A44">
        <w:trPr>
          <w:trHeight w:val="1152"/>
          <w:jc w:val="center"/>
        </w:trPr>
        <w:tc>
          <w:tcPr>
            <w:tcW w:w="9640" w:type="dxa"/>
            <w:gridSpan w:val="13"/>
            <w:tcMar>
              <w:top w:w="57" w:type="dxa"/>
              <w:bottom w:w="57" w:type="dxa"/>
            </w:tcMar>
          </w:tcPr>
          <w:p w14:paraId="13B0F25E"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38640CBB" w14:textId="77777777" w:rsidR="004A2E05" w:rsidRDefault="004A2E05" w:rsidP="00454754">
            <w:pPr>
              <w:pStyle w:val="Header"/>
              <w:tabs>
                <w:tab w:val="clear" w:pos="4153"/>
                <w:tab w:val="clear" w:pos="8306"/>
              </w:tabs>
              <w:jc w:val="both"/>
              <w:rPr>
                <w:rFonts w:ascii="Calibri" w:hAnsi="Calibri"/>
                <w:szCs w:val="22"/>
              </w:rPr>
            </w:pPr>
          </w:p>
          <w:p w14:paraId="523AB4F7" w14:textId="511F880B" w:rsidR="00567056" w:rsidRDefault="002C0C20" w:rsidP="004C0B62">
            <w:pPr>
              <w:pStyle w:val="Header"/>
              <w:tabs>
                <w:tab w:val="clear" w:pos="4153"/>
                <w:tab w:val="clear" w:pos="8306"/>
              </w:tabs>
              <w:jc w:val="both"/>
              <w:rPr>
                <w:rFonts w:ascii="Calibri" w:hAnsi="Calibri"/>
                <w:szCs w:val="22"/>
              </w:rPr>
            </w:pPr>
            <w:r>
              <w:rPr>
                <w:rFonts w:ascii="Calibri" w:hAnsi="Calibri"/>
                <w:szCs w:val="22"/>
              </w:rPr>
              <w:t xml:space="preserve">The application seeks consent </w:t>
            </w:r>
            <w:r w:rsidR="00D62664" w:rsidRPr="00084C4B">
              <w:rPr>
                <w:rFonts w:ascii="Calibri" w:hAnsi="Calibri"/>
                <w:szCs w:val="22"/>
              </w:rPr>
              <w:t xml:space="preserve">to </w:t>
            </w:r>
            <w:r w:rsidR="00760861">
              <w:rPr>
                <w:rFonts w:ascii="Calibri" w:hAnsi="Calibri"/>
                <w:szCs w:val="22"/>
              </w:rPr>
              <w:t>demolish</w:t>
            </w:r>
            <w:r w:rsidR="00190F44">
              <w:rPr>
                <w:rFonts w:ascii="Calibri" w:hAnsi="Calibri"/>
                <w:szCs w:val="22"/>
              </w:rPr>
              <w:t xml:space="preserve"> the existing red brick building and </w:t>
            </w:r>
            <w:r w:rsidR="00D62664">
              <w:rPr>
                <w:rFonts w:ascii="Calibri" w:hAnsi="Calibri"/>
                <w:szCs w:val="22"/>
              </w:rPr>
              <w:t>erect t</w:t>
            </w:r>
            <w:r w:rsidR="00190F44">
              <w:rPr>
                <w:rFonts w:ascii="Calibri" w:hAnsi="Calibri"/>
                <w:szCs w:val="22"/>
              </w:rPr>
              <w:t xml:space="preserve">wo </w:t>
            </w:r>
            <w:r w:rsidR="00567056">
              <w:rPr>
                <w:rFonts w:ascii="Calibri" w:hAnsi="Calibri"/>
                <w:szCs w:val="22"/>
              </w:rPr>
              <w:t xml:space="preserve">blocks of </w:t>
            </w:r>
            <w:r w:rsidR="00D62664">
              <w:rPr>
                <w:rFonts w:ascii="Calibri" w:hAnsi="Calibri"/>
                <w:szCs w:val="22"/>
              </w:rPr>
              <w:t xml:space="preserve">industrial units </w:t>
            </w:r>
            <w:r w:rsidR="00567056">
              <w:rPr>
                <w:rFonts w:ascii="Calibri" w:hAnsi="Calibri"/>
                <w:szCs w:val="22"/>
              </w:rPr>
              <w:t xml:space="preserve">totalling 7 self-contained units </w:t>
            </w:r>
            <w:r w:rsidR="00D62664">
              <w:rPr>
                <w:rFonts w:ascii="Calibri" w:hAnsi="Calibri"/>
                <w:szCs w:val="22"/>
              </w:rPr>
              <w:t>with associated parking and landscaping</w:t>
            </w:r>
            <w:r w:rsidR="00190F44">
              <w:rPr>
                <w:rFonts w:ascii="Calibri" w:hAnsi="Calibri"/>
                <w:szCs w:val="22"/>
              </w:rPr>
              <w:t xml:space="preserve"> within the site.  Unit one would measure </w:t>
            </w:r>
            <w:r w:rsidR="00E35809">
              <w:rPr>
                <w:rFonts w:ascii="Calibri" w:hAnsi="Calibri"/>
                <w:szCs w:val="22"/>
              </w:rPr>
              <w:t>14.165</w:t>
            </w:r>
            <w:r w:rsidR="00190F44">
              <w:rPr>
                <w:rFonts w:ascii="Calibri" w:hAnsi="Calibri"/>
                <w:szCs w:val="22"/>
              </w:rPr>
              <w:t xml:space="preserve">m x </w:t>
            </w:r>
            <w:r w:rsidR="00E35809">
              <w:rPr>
                <w:rFonts w:ascii="Calibri" w:hAnsi="Calibri"/>
                <w:szCs w:val="22"/>
              </w:rPr>
              <w:t>36.4</w:t>
            </w:r>
            <w:r w:rsidR="00190F44">
              <w:rPr>
                <w:rFonts w:ascii="Calibri" w:hAnsi="Calibri"/>
                <w:szCs w:val="22"/>
              </w:rPr>
              <w:t xml:space="preserve">m x </w:t>
            </w:r>
            <w:r w:rsidR="00E35809">
              <w:rPr>
                <w:rFonts w:ascii="Calibri" w:hAnsi="Calibri"/>
                <w:szCs w:val="22"/>
              </w:rPr>
              <w:t>5</w:t>
            </w:r>
            <w:r w:rsidR="00190F44">
              <w:rPr>
                <w:rFonts w:ascii="Calibri" w:hAnsi="Calibri"/>
                <w:szCs w:val="22"/>
              </w:rPr>
              <w:t xml:space="preserve">m </w:t>
            </w:r>
            <w:r w:rsidR="00E35809">
              <w:rPr>
                <w:rFonts w:ascii="Calibri" w:hAnsi="Calibri"/>
                <w:szCs w:val="22"/>
              </w:rPr>
              <w:t xml:space="preserve">to eaves (7.22m to ridge) </w:t>
            </w:r>
            <w:r w:rsidR="00190F44">
              <w:rPr>
                <w:rFonts w:ascii="Calibri" w:hAnsi="Calibri"/>
                <w:szCs w:val="22"/>
              </w:rPr>
              <w:t xml:space="preserve">sited on </w:t>
            </w:r>
            <w:r w:rsidR="00E35809">
              <w:rPr>
                <w:rFonts w:ascii="Calibri" w:hAnsi="Calibri"/>
                <w:szCs w:val="22"/>
              </w:rPr>
              <w:t xml:space="preserve">the majority </w:t>
            </w:r>
            <w:r w:rsidR="00190F44">
              <w:rPr>
                <w:rFonts w:ascii="Calibri" w:hAnsi="Calibri"/>
                <w:szCs w:val="22"/>
              </w:rPr>
              <w:t xml:space="preserve">of the footprint of the demolished building with an increase buffer and landscaping to the southern and </w:t>
            </w:r>
            <w:r w:rsidR="00E35809">
              <w:rPr>
                <w:rFonts w:ascii="Calibri" w:hAnsi="Calibri"/>
                <w:szCs w:val="22"/>
              </w:rPr>
              <w:t>southwest</w:t>
            </w:r>
            <w:r w:rsidR="00190F44">
              <w:rPr>
                <w:rFonts w:ascii="Calibri" w:hAnsi="Calibri"/>
                <w:szCs w:val="22"/>
              </w:rPr>
              <w:t xml:space="preserve"> boundaries</w:t>
            </w:r>
            <w:r w:rsidR="00567056">
              <w:rPr>
                <w:rFonts w:ascii="Calibri" w:hAnsi="Calibri"/>
                <w:szCs w:val="22"/>
              </w:rPr>
              <w:t xml:space="preserve">.  </w:t>
            </w:r>
          </w:p>
          <w:p w14:paraId="434EFFD7" w14:textId="77777777" w:rsidR="001C5CF0" w:rsidRDefault="001C5CF0" w:rsidP="004C0B62">
            <w:pPr>
              <w:pStyle w:val="Header"/>
              <w:tabs>
                <w:tab w:val="clear" w:pos="4153"/>
                <w:tab w:val="clear" w:pos="8306"/>
              </w:tabs>
              <w:jc w:val="both"/>
              <w:rPr>
                <w:rFonts w:ascii="Calibri" w:hAnsi="Calibri"/>
                <w:szCs w:val="22"/>
              </w:rPr>
            </w:pPr>
          </w:p>
          <w:p w14:paraId="15B04CFD" w14:textId="68419510" w:rsidR="001C5CF0" w:rsidRDefault="001C5CF0" w:rsidP="004C0B62">
            <w:pPr>
              <w:pStyle w:val="Header"/>
              <w:tabs>
                <w:tab w:val="clear" w:pos="4153"/>
                <w:tab w:val="clear" w:pos="8306"/>
              </w:tabs>
              <w:jc w:val="both"/>
              <w:rPr>
                <w:rFonts w:ascii="Calibri" w:hAnsi="Calibri"/>
                <w:szCs w:val="22"/>
              </w:rPr>
            </w:pPr>
            <w:r>
              <w:rPr>
                <w:rFonts w:ascii="Calibri" w:hAnsi="Calibri"/>
                <w:szCs w:val="22"/>
              </w:rPr>
              <w:t xml:space="preserve">Each of the </w:t>
            </w:r>
            <w:r w:rsidR="000334DD">
              <w:rPr>
                <w:rFonts w:ascii="Calibri" w:hAnsi="Calibri"/>
                <w:szCs w:val="22"/>
              </w:rPr>
              <w:t>five</w:t>
            </w:r>
            <w:r>
              <w:rPr>
                <w:rFonts w:ascii="Calibri" w:hAnsi="Calibri"/>
                <w:szCs w:val="22"/>
              </w:rPr>
              <w:t xml:space="preserve"> units </w:t>
            </w:r>
            <w:r w:rsidR="000334DD">
              <w:rPr>
                <w:rFonts w:ascii="Calibri" w:hAnsi="Calibri"/>
                <w:szCs w:val="22"/>
              </w:rPr>
              <w:t xml:space="preserve">within block one </w:t>
            </w:r>
            <w:r>
              <w:rPr>
                <w:rFonts w:ascii="Calibri" w:hAnsi="Calibri"/>
                <w:szCs w:val="22"/>
              </w:rPr>
              <w:t>would have between 93 and 94.5sq.m. floorspace at ground level and a mezzanine floor of 39.5sq.m. resulting in an overall floor area of around 133sq.m.</w:t>
            </w:r>
          </w:p>
          <w:p w14:paraId="179BBD9C" w14:textId="77777777" w:rsidR="00567056" w:rsidRDefault="00567056" w:rsidP="004C0B62">
            <w:pPr>
              <w:pStyle w:val="Header"/>
              <w:tabs>
                <w:tab w:val="clear" w:pos="4153"/>
                <w:tab w:val="clear" w:pos="8306"/>
              </w:tabs>
              <w:jc w:val="both"/>
              <w:rPr>
                <w:rFonts w:ascii="Calibri" w:hAnsi="Calibri"/>
                <w:szCs w:val="22"/>
              </w:rPr>
            </w:pPr>
          </w:p>
          <w:p w14:paraId="267A01F8" w14:textId="5B4E9F68" w:rsidR="000334DD" w:rsidRDefault="000334DD" w:rsidP="000334DD">
            <w:pPr>
              <w:pStyle w:val="Header"/>
              <w:tabs>
                <w:tab w:val="clear" w:pos="4153"/>
                <w:tab w:val="clear" w:pos="8306"/>
              </w:tabs>
              <w:jc w:val="both"/>
              <w:rPr>
                <w:rFonts w:ascii="Calibri" w:hAnsi="Calibri"/>
                <w:szCs w:val="22"/>
              </w:rPr>
            </w:pPr>
            <w:r>
              <w:rPr>
                <w:rFonts w:ascii="Calibri" w:hAnsi="Calibri"/>
                <w:szCs w:val="22"/>
              </w:rPr>
              <w:t>Unit 2 would measure 14.165m x 13.715m x 6.545m and be sited to</w:t>
            </w:r>
            <w:r w:rsidR="00760861">
              <w:rPr>
                <w:rFonts w:ascii="Calibri" w:hAnsi="Calibri"/>
                <w:szCs w:val="22"/>
              </w:rPr>
              <w:t xml:space="preserve"> the</w:t>
            </w:r>
            <w:r>
              <w:rPr>
                <w:rFonts w:ascii="Calibri" w:hAnsi="Calibri"/>
                <w:szCs w:val="22"/>
              </w:rPr>
              <w:t xml:space="preserve"> northeast corner of the site. The two units would have 87.3sq.m. floorspace at ground level and a mezzanine floor of between 44.7 and 40sq.m. resulting in an overall floor area of 127.3/132sq.m. respectively.</w:t>
            </w:r>
          </w:p>
          <w:p w14:paraId="4B6FF492" w14:textId="77777777" w:rsidR="000334DD" w:rsidRDefault="000334DD" w:rsidP="004C0B62">
            <w:pPr>
              <w:pStyle w:val="Header"/>
              <w:tabs>
                <w:tab w:val="clear" w:pos="4153"/>
                <w:tab w:val="clear" w:pos="8306"/>
              </w:tabs>
              <w:jc w:val="both"/>
              <w:rPr>
                <w:rFonts w:ascii="Calibri" w:hAnsi="Calibri"/>
                <w:szCs w:val="22"/>
              </w:rPr>
            </w:pPr>
          </w:p>
          <w:p w14:paraId="51CEAE2F" w14:textId="095A7F15" w:rsidR="00D62664" w:rsidRDefault="00567056" w:rsidP="004C0B62">
            <w:pPr>
              <w:pStyle w:val="Header"/>
              <w:tabs>
                <w:tab w:val="clear" w:pos="4153"/>
                <w:tab w:val="clear" w:pos="8306"/>
              </w:tabs>
              <w:jc w:val="both"/>
              <w:rPr>
                <w:rFonts w:ascii="Calibri" w:hAnsi="Calibri"/>
                <w:szCs w:val="22"/>
              </w:rPr>
            </w:pPr>
            <w:r>
              <w:rPr>
                <w:rFonts w:ascii="Calibri" w:hAnsi="Calibri"/>
                <w:szCs w:val="22"/>
              </w:rPr>
              <w:t>Seve</w:t>
            </w:r>
            <w:r w:rsidR="000334DD">
              <w:rPr>
                <w:rFonts w:ascii="Calibri" w:hAnsi="Calibri"/>
                <w:szCs w:val="22"/>
              </w:rPr>
              <w:t xml:space="preserve">nteen </w:t>
            </w:r>
            <w:r>
              <w:rPr>
                <w:rFonts w:ascii="Calibri" w:hAnsi="Calibri"/>
                <w:szCs w:val="22"/>
              </w:rPr>
              <w:t>car parking spaces, including two disabled spaces are proposed as well as motorcycle and cycles parking spaces and bin stores</w:t>
            </w:r>
            <w:r w:rsidR="000334DD">
              <w:rPr>
                <w:rFonts w:ascii="Calibri" w:hAnsi="Calibri"/>
                <w:szCs w:val="22"/>
              </w:rPr>
              <w:t xml:space="preserve"> would serve both units.</w:t>
            </w:r>
          </w:p>
          <w:p w14:paraId="00FD23C2" w14:textId="77777777" w:rsidR="00D62664" w:rsidRDefault="00D62664" w:rsidP="00D62664">
            <w:pPr>
              <w:jc w:val="both"/>
              <w:rPr>
                <w:rFonts w:ascii="Calibri" w:hAnsi="Calibri"/>
                <w:szCs w:val="22"/>
              </w:rPr>
            </w:pPr>
          </w:p>
          <w:p w14:paraId="0A51856C" w14:textId="77777777"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proposed use classes for the development would be:</w:t>
            </w:r>
          </w:p>
          <w:p w14:paraId="74783FB2" w14:textId="77777777" w:rsidR="00D62664" w:rsidRDefault="00D62664" w:rsidP="00D62664">
            <w:pPr>
              <w:pStyle w:val="Header"/>
              <w:tabs>
                <w:tab w:val="clear" w:pos="4153"/>
                <w:tab w:val="clear" w:pos="8306"/>
              </w:tabs>
              <w:contextualSpacing/>
              <w:jc w:val="both"/>
              <w:rPr>
                <w:rFonts w:ascii="Calibri" w:hAnsi="Calibri"/>
                <w:bCs/>
                <w:szCs w:val="22"/>
              </w:rPr>
            </w:pPr>
          </w:p>
          <w:p w14:paraId="44309599" w14:textId="6FCA0984"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B2- General Industrial Use</w:t>
            </w:r>
            <w:r w:rsidR="000334DD">
              <w:rPr>
                <w:rFonts w:ascii="Calibri" w:hAnsi="Calibri"/>
                <w:bCs/>
                <w:szCs w:val="22"/>
              </w:rPr>
              <w:t xml:space="preserve"> </w:t>
            </w:r>
          </w:p>
          <w:p w14:paraId="16E7EF78" w14:textId="77777777"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B8 – Storage and Distribution</w:t>
            </w:r>
          </w:p>
          <w:p w14:paraId="5ADA7CC0" w14:textId="77777777" w:rsidR="00D62664" w:rsidRDefault="00D62664" w:rsidP="00D62664">
            <w:pPr>
              <w:pStyle w:val="Header"/>
              <w:tabs>
                <w:tab w:val="clear" w:pos="4153"/>
                <w:tab w:val="clear" w:pos="8306"/>
              </w:tabs>
              <w:contextualSpacing/>
              <w:jc w:val="both"/>
              <w:rPr>
                <w:rFonts w:ascii="Calibri" w:hAnsi="Calibri"/>
                <w:bCs/>
                <w:szCs w:val="22"/>
              </w:rPr>
            </w:pPr>
          </w:p>
          <w:p w14:paraId="5962007A" w14:textId="1FB9356B" w:rsidR="00760861" w:rsidRDefault="00760861" w:rsidP="00760861">
            <w:pPr>
              <w:pStyle w:val="Header"/>
              <w:contextualSpacing/>
              <w:jc w:val="both"/>
              <w:rPr>
                <w:rFonts w:ascii="Calibri" w:hAnsi="Calibri"/>
                <w:szCs w:val="22"/>
              </w:rPr>
            </w:pPr>
            <w:r>
              <w:rPr>
                <w:rFonts w:ascii="Calibri" w:hAnsi="Calibri"/>
                <w:szCs w:val="22"/>
              </w:rPr>
              <w:t>The total proposed floorspace of the new units would be 995sq.m. thereby resulting in a reduction of floorspace of 168 sq.m. overall.  It is proposed that the floorspace would be split roughly equal between the two uses at 497sq.m. each.</w:t>
            </w:r>
          </w:p>
          <w:p w14:paraId="0B24C306" w14:textId="77777777" w:rsidR="00760861" w:rsidRPr="002C0C20" w:rsidRDefault="00760861" w:rsidP="00760861">
            <w:pPr>
              <w:pStyle w:val="Header"/>
              <w:contextualSpacing/>
              <w:jc w:val="both"/>
              <w:rPr>
                <w:rFonts w:ascii="Calibri" w:hAnsi="Calibri"/>
                <w:szCs w:val="22"/>
              </w:rPr>
            </w:pPr>
          </w:p>
          <w:p w14:paraId="0AF0A766" w14:textId="3E1226A9" w:rsidR="00D62664" w:rsidRDefault="000334DD" w:rsidP="00D62664">
            <w:pPr>
              <w:pStyle w:val="Header"/>
              <w:tabs>
                <w:tab w:val="clear" w:pos="4153"/>
                <w:tab w:val="clear" w:pos="8306"/>
              </w:tabs>
              <w:contextualSpacing/>
              <w:jc w:val="both"/>
              <w:rPr>
                <w:rFonts w:ascii="Calibri" w:hAnsi="Calibri"/>
                <w:bCs/>
                <w:szCs w:val="22"/>
              </w:rPr>
            </w:pPr>
            <w:r>
              <w:rPr>
                <w:rFonts w:ascii="Calibri" w:hAnsi="Calibri"/>
                <w:bCs/>
                <w:szCs w:val="22"/>
              </w:rPr>
              <w:t>The site can accommodate adequate turning and manoeuvring space for a 12m rigid vehicle.</w:t>
            </w:r>
          </w:p>
          <w:p w14:paraId="064EB4FA" w14:textId="50731A02" w:rsidR="00343822" w:rsidRPr="00F012FA" w:rsidRDefault="00343822" w:rsidP="00760861">
            <w:pPr>
              <w:jc w:val="both"/>
              <w:rPr>
                <w:rFonts w:ascii="Calibri" w:hAnsi="Calibri"/>
                <w:szCs w:val="22"/>
              </w:rPr>
            </w:pPr>
          </w:p>
        </w:tc>
      </w:tr>
      <w:tr w:rsidR="00C214A6" w:rsidRPr="008C75E4" w14:paraId="70081992" w14:textId="77777777" w:rsidTr="00665A44">
        <w:trPr>
          <w:trHeight w:val="864"/>
          <w:jc w:val="center"/>
        </w:trPr>
        <w:tc>
          <w:tcPr>
            <w:tcW w:w="9640" w:type="dxa"/>
            <w:gridSpan w:val="13"/>
            <w:tcMar>
              <w:top w:w="57" w:type="dxa"/>
              <w:bottom w:w="57" w:type="dxa"/>
            </w:tcMar>
          </w:tcPr>
          <w:p w14:paraId="49902788" w14:textId="77777777" w:rsid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312E1281" w14:textId="77777777" w:rsidR="004A2E05" w:rsidRPr="006D7624" w:rsidRDefault="004A2E05" w:rsidP="006D7624">
            <w:pPr>
              <w:pStyle w:val="Header"/>
              <w:jc w:val="both"/>
              <w:rPr>
                <w:rFonts w:ascii="Calibri" w:hAnsi="Calibri"/>
                <w:b/>
                <w:szCs w:val="22"/>
              </w:rPr>
            </w:pPr>
          </w:p>
          <w:p w14:paraId="273942FF" w14:textId="77777777" w:rsidR="00D62664" w:rsidRPr="00CC4383" w:rsidRDefault="00D62664" w:rsidP="00D62664">
            <w:pPr>
              <w:pStyle w:val="Header"/>
              <w:tabs>
                <w:tab w:val="clear" w:pos="4153"/>
                <w:tab w:val="clear" w:pos="8306"/>
              </w:tabs>
              <w:contextualSpacing/>
              <w:jc w:val="both"/>
              <w:rPr>
                <w:rFonts w:ascii="Calibri" w:eastAsia="Calibri" w:hAnsi="Calibri" w:cs="Calibri"/>
                <w:szCs w:val="22"/>
                <w:lang w:eastAsia="en-GB"/>
              </w:rPr>
            </w:pPr>
            <w:r w:rsidRPr="00CC4383">
              <w:rPr>
                <w:rFonts w:ascii="Calibri" w:hAnsi="Calibri"/>
                <w:bCs/>
                <w:szCs w:val="22"/>
              </w:rPr>
              <w:t xml:space="preserve">The site is located </w:t>
            </w:r>
            <w:r>
              <w:rPr>
                <w:rFonts w:ascii="Calibri" w:hAnsi="Calibri"/>
                <w:bCs/>
                <w:szCs w:val="22"/>
              </w:rPr>
              <w:t>within a defined settlement and is already in employment use and protected as such by Policy DMB1</w:t>
            </w:r>
            <w:r w:rsidRPr="00CC4383">
              <w:rPr>
                <w:rFonts w:ascii="Calibri" w:hAnsi="Calibri"/>
                <w:bCs/>
                <w:szCs w:val="22"/>
              </w:rPr>
              <w:t xml:space="preserve">.  </w:t>
            </w:r>
          </w:p>
          <w:p w14:paraId="5ACC0022" w14:textId="77777777" w:rsidR="00D62664" w:rsidRPr="00CC4383" w:rsidRDefault="00D62664" w:rsidP="00D62664">
            <w:pPr>
              <w:pStyle w:val="Header"/>
              <w:tabs>
                <w:tab w:val="clear" w:pos="4153"/>
                <w:tab w:val="clear" w:pos="8306"/>
              </w:tabs>
              <w:contextualSpacing/>
              <w:jc w:val="both"/>
              <w:rPr>
                <w:rFonts w:ascii="Calibri" w:hAnsi="Calibri" w:cs="Calibri"/>
                <w:b/>
                <w:color w:val="FF0000"/>
                <w:szCs w:val="22"/>
              </w:rPr>
            </w:pPr>
          </w:p>
          <w:p w14:paraId="5F2E0DD6" w14:textId="77777777" w:rsidR="00D62664" w:rsidRPr="00B537EA" w:rsidRDefault="00D62664" w:rsidP="00D62664">
            <w:pPr>
              <w:pStyle w:val="Header"/>
              <w:tabs>
                <w:tab w:val="clear" w:pos="4153"/>
                <w:tab w:val="clear" w:pos="8306"/>
              </w:tabs>
              <w:contextualSpacing/>
              <w:jc w:val="both"/>
              <w:rPr>
                <w:rFonts w:ascii="Calibri" w:hAnsi="Calibri"/>
                <w:bCs/>
                <w:szCs w:val="22"/>
              </w:rPr>
            </w:pPr>
            <w:r w:rsidRPr="00B537EA">
              <w:rPr>
                <w:rFonts w:ascii="Calibri" w:hAnsi="Calibri"/>
                <w:bCs/>
                <w:szCs w:val="22"/>
              </w:rPr>
              <w:t xml:space="preserve">Policy DMB1 </w:t>
            </w:r>
            <w:r>
              <w:rPr>
                <w:rFonts w:ascii="Calibri" w:hAnsi="Calibri"/>
                <w:bCs/>
                <w:szCs w:val="22"/>
              </w:rPr>
              <w:t>supports proposals intended to support business growth and the local economy in principle; although there is an expectation that proposals will be determined in accordance with the development plan. As the existing business park is located within a settlement policy DMB1 supports the redevelopment where it is essential to maintain the existing source of employment which would appear to be the case here.</w:t>
            </w:r>
          </w:p>
          <w:p w14:paraId="04D5C3C1" w14:textId="77777777" w:rsidR="00D62664" w:rsidRDefault="00D62664" w:rsidP="00D62664">
            <w:pPr>
              <w:pStyle w:val="Header"/>
              <w:tabs>
                <w:tab w:val="clear" w:pos="4153"/>
                <w:tab w:val="clear" w:pos="8306"/>
              </w:tabs>
              <w:contextualSpacing/>
              <w:jc w:val="both"/>
              <w:rPr>
                <w:rFonts w:ascii="Calibri" w:hAnsi="Calibri"/>
                <w:b/>
                <w:szCs w:val="22"/>
              </w:rPr>
            </w:pPr>
          </w:p>
          <w:p w14:paraId="17C38401" w14:textId="77777777"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Policy DMG3 requires considerable weight to be given to the availability and adequacy of public transport and associated infrastructure to serve those moving to and from a development. </w:t>
            </w:r>
            <w:r w:rsidRPr="00EF32AA">
              <w:rPr>
                <w:rFonts w:ascii="Calibri" w:hAnsi="Calibri"/>
                <w:bCs/>
                <w:szCs w:val="22"/>
              </w:rPr>
              <w:t xml:space="preserve">The site lies </w:t>
            </w:r>
            <w:r>
              <w:rPr>
                <w:rFonts w:ascii="Calibri" w:hAnsi="Calibri"/>
                <w:bCs/>
                <w:szCs w:val="22"/>
              </w:rPr>
              <w:t>cl</w:t>
            </w:r>
            <w:r w:rsidRPr="00EF32AA">
              <w:rPr>
                <w:rFonts w:ascii="Calibri" w:hAnsi="Calibri"/>
                <w:bCs/>
                <w:szCs w:val="22"/>
              </w:rPr>
              <w:t>ose to public transport provisions</w:t>
            </w:r>
            <w:r>
              <w:rPr>
                <w:rFonts w:ascii="Calibri" w:hAnsi="Calibri"/>
                <w:bCs/>
                <w:szCs w:val="22"/>
              </w:rPr>
              <w:t xml:space="preserve"> including </w:t>
            </w:r>
            <w:r w:rsidRPr="00EF32AA">
              <w:rPr>
                <w:rFonts w:ascii="Calibri" w:hAnsi="Calibri"/>
                <w:bCs/>
                <w:szCs w:val="22"/>
              </w:rPr>
              <w:t>bus service</w:t>
            </w:r>
            <w:r>
              <w:rPr>
                <w:rFonts w:ascii="Calibri" w:hAnsi="Calibri"/>
                <w:bCs/>
                <w:szCs w:val="22"/>
              </w:rPr>
              <w:t xml:space="preserve">s. A case outlining the accessibility and connectivity of the site and why it is considered to be in a sustainable location, as well as provisions within the development to encourage sustainable travel such as cycle provision and Travel Plan, should be made in an application submission in order to satisfy this policy.  </w:t>
            </w:r>
          </w:p>
          <w:p w14:paraId="2C2978F7" w14:textId="77777777" w:rsidR="00773DD2" w:rsidRDefault="00773DD2" w:rsidP="00454754">
            <w:pPr>
              <w:pStyle w:val="Header"/>
              <w:tabs>
                <w:tab w:val="clear" w:pos="4153"/>
                <w:tab w:val="clear" w:pos="8306"/>
              </w:tabs>
              <w:jc w:val="both"/>
              <w:rPr>
                <w:rFonts w:ascii="Calibri" w:hAnsi="Calibri"/>
                <w:szCs w:val="22"/>
              </w:rPr>
            </w:pPr>
          </w:p>
          <w:p w14:paraId="4E127472" w14:textId="6F3AB585" w:rsidR="00D102D9" w:rsidRDefault="002842FC" w:rsidP="00454754">
            <w:pPr>
              <w:pStyle w:val="Header"/>
              <w:tabs>
                <w:tab w:val="clear" w:pos="4153"/>
                <w:tab w:val="clear" w:pos="8306"/>
              </w:tabs>
              <w:jc w:val="both"/>
              <w:rPr>
                <w:rFonts w:ascii="Calibri" w:hAnsi="Calibri"/>
                <w:szCs w:val="22"/>
              </w:rPr>
            </w:pPr>
            <w:r>
              <w:rPr>
                <w:rFonts w:ascii="Calibri" w:hAnsi="Calibri"/>
                <w:szCs w:val="22"/>
              </w:rPr>
              <w:t xml:space="preserve">The </w:t>
            </w:r>
            <w:r w:rsidR="004A2E05">
              <w:rPr>
                <w:rFonts w:ascii="Calibri" w:hAnsi="Calibri"/>
                <w:szCs w:val="22"/>
              </w:rPr>
              <w:t xml:space="preserve">proposed </w:t>
            </w:r>
            <w:r>
              <w:rPr>
                <w:rFonts w:ascii="Calibri" w:hAnsi="Calibri"/>
                <w:szCs w:val="22"/>
              </w:rPr>
              <w:t xml:space="preserve">building will </w:t>
            </w:r>
            <w:r w:rsidR="000334DD">
              <w:rPr>
                <w:rFonts w:ascii="Calibri" w:hAnsi="Calibri"/>
                <w:szCs w:val="22"/>
              </w:rPr>
              <w:t xml:space="preserve">provide more suitable accommodation for the existing site as well as </w:t>
            </w:r>
            <w:r>
              <w:rPr>
                <w:rFonts w:ascii="Calibri" w:hAnsi="Calibri"/>
                <w:szCs w:val="22"/>
              </w:rPr>
              <w:t>allow</w:t>
            </w:r>
            <w:r w:rsidR="000334DD">
              <w:rPr>
                <w:rFonts w:ascii="Calibri" w:hAnsi="Calibri"/>
                <w:szCs w:val="22"/>
              </w:rPr>
              <w:t>ing</w:t>
            </w:r>
            <w:r>
              <w:rPr>
                <w:rFonts w:ascii="Calibri" w:hAnsi="Calibri"/>
                <w:szCs w:val="22"/>
              </w:rPr>
              <w:t xml:space="preserve"> the </w:t>
            </w:r>
            <w:r w:rsidR="000334DD">
              <w:rPr>
                <w:rFonts w:ascii="Calibri" w:hAnsi="Calibri"/>
                <w:szCs w:val="22"/>
              </w:rPr>
              <w:t>existing employment use of the site.</w:t>
            </w:r>
            <w:r>
              <w:rPr>
                <w:rFonts w:ascii="Calibri" w:hAnsi="Calibri"/>
                <w:szCs w:val="22"/>
              </w:rPr>
              <w:t xml:space="preserve"> </w:t>
            </w:r>
          </w:p>
          <w:p w14:paraId="350A15A7" w14:textId="77777777" w:rsidR="009E466E" w:rsidRDefault="009E466E" w:rsidP="00454754">
            <w:pPr>
              <w:pStyle w:val="Header"/>
              <w:tabs>
                <w:tab w:val="clear" w:pos="4153"/>
                <w:tab w:val="clear" w:pos="8306"/>
              </w:tabs>
              <w:jc w:val="both"/>
              <w:rPr>
                <w:rFonts w:ascii="Calibri" w:hAnsi="Calibri"/>
                <w:szCs w:val="22"/>
              </w:rPr>
            </w:pPr>
          </w:p>
          <w:p w14:paraId="280425FF" w14:textId="65CE5858" w:rsidR="003D30DC" w:rsidRDefault="003D30DC" w:rsidP="00454754">
            <w:pPr>
              <w:pStyle w:val="Header"/>
              <w:tabs>
                <w:tab w:val="clear" w:pos="4153"/>
                <w:tab w:val="clear" w:pos="8306"/>
              </w:tabs>
              <w:jc w:val="both"/>
              <w:rPr>
                <w:rFonts w:ascii="Calibri" w:hAnsi="Calibri"/>
                <w:szCs w:val="22"/>
              </w:rPr>
            </w:pPr>
            <w:r>
              <w:rPr>
                <w:rFonts w:ascii="Calibri" w:hAnsi="Calibri"/>
                <w:szCs w:val="22"/>
              </w:rPr>
              <w:t>Core Strategy policies EC2 and DMB</w:t>
            </w:r>
            <w:r w:rsidR="00CC2D6D">
              <w:rPr>
                <w:rFonts w:ascii="Calibri" w:hAnsi="Calibri"/>
                <w:szCs w:val="22"/>
              </w:rPr>
              <w:t>1 support this proposal in terms of employment generation and economic growth. It also accords with DS1 and DMG2 in terms of the spatial strategy for the borough. As such it is acceptable in principle subject to the material planning considerations</w:t>
            </w:r>
            <w:r w:rsidR="004A2E05">
              <w:rPr>
                <w:rFonts w:ascii="Calibri" w:hAnsi="Calibri"/>
                <w:szCs w:val="22"/>
              </w:rPr>
              <w:t xml:space="preserve"> below.</w:t>
            </w:r>
          </w:p>
          <w:p w14:paraId="12876A5C" w14:textId="77777777" w:rsidR="004A2E05" w:rsidRPr="006D7624" w:rsidRDefault="004A2E05" w:rsidP="00454754">
            <w:pPr>
              <w:pStyle w:val="Header"/>
              <w:tabs>
                <w:tab w:val="clear" w:pos="4153"/>
                <w:tab w:val="clear" w:pos="8306"/>
              </w:tabs>
              <w:jc w:val="both"/>
              <w:rPr>
                <w:rFonts w:ascii="Calibri" w:hAnsi="Calibri"/>
                <w:szCs w:val="22"/>
              </w:rPr>
            </w:pPr>
          </w:p>
        </w:tc>
      </w:tr>
      <w:tr w:rsidR="008C75E4" w:rsidRPr="008C75E4" w14:paraId="3E2A4A5A" w14:textId="77777777" w:rsidTr="00665A44">
        <w:trPr>
          <w:trHeight w:val="864"/>
          <w:jc w:val="center"/>
        </w:trPr>
        <w:tc>
          <w:tcPr>
            <w:tcW w:w="9640" w:type="dxa"/>
            <w:gridSpan w:val="13"/>
            <w:tcMar>
              <w:top w:w="57" w:type="dxa"/>
              <w:bottom w:w="57" w:type="dxa"/>
            </w:tcMar>
          </w:tcPr>
          <w:p w14:paraId="01C9E131"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2A3E953" w14:textId="77777777" w:rsidR="004A2E05" w:rsidRDefault="004A2E05" w:rsidP="006126D1">
            <w:pPr>
              <w:contextualSpacing/>
              <w:jc w:val="both"/>
              <w:rPr>
                <w:rFonts w:ascii="Calibri" w:hAnsi="Calibri"/>
                <w:b/>
                <w:szCs w:val="22"/>
              </w:rPr>
            </w:pPr>
          </w:p>
          <w:p w14:paraId="714B4625" w14:textId="7CF9BEB3"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The nearest residential properties are located to the east and south on the opposite side of Pleckgate Road with a farm sited </w:t>
            </w:r>
            <w:r w:rsidR="00B405E2">
              <w:rPr>
                <w:rFonts w:ascii="Calibri" w:hAnsi="Calibri"/>
                <w:bCs/>
                <w:szCs w:val="22"/>
              </w:rPr>
              <w:t xml:space="preserve">120m </w:t>
            </w:r>
            <w:r>
              <w:rPr>
                <w:rFonts w:ascii="Calibri" w:hAnsi="Calibri"/>
                <w:bCs/>
                <w:szCs w:val="22"/>
              </w:rPr>
              <w:t>to the west.</w:t>
            </w:r>
            <w:r w:rsidR="007B0347">
              <w:rPr>
                <w:rFonts w:ascii="Calibri" w:hAnsi="Calibri"/>
                <w:bCs/>
                <w:szCs w:val="22"/>
              </w:rPr>
              <w:t xml:space="preserve"> There is a nursing home sited </w:t>
            </w:r>
            <w:r w:rsidR="00B405E2">
              <w:rPr>
                <w:rFonts w:ascii="Calibri" w:hAnsi="Calibri"/>
                <w:bCs/>
                <w:szCs w:val="22"/>
              </w:rPr>
              <w:t>50</w:t>
            </w:r>
            <w:r w:rsidR="007B0347">
              <w:rPr>
                <w:rFonts w:ascii="Calibri" w:hAnsi="Calibri"/>
                <w:bCs/>
                <w:szCs w:val="22"/>
              </w:rPr>
              <w:t xml:space="preserve">m to the east with other commercial units </w:t>
            </w:r>
            <w:r w:rsidR="00B405E2">
              <w:rPr>
                <w:rFonts w:ascii="Calibri" w:hAnsi="Calibri"/>
                <w:bCs/>
                <w:szCs w:val="22"/>
              </w:rPr>
              <w:t>o</w:t>
            </w:r>
            <w:r w:rsidR="007B0347">
              <w:rPr>
                <w:rFonts w:ascii="Calibri" w:hAnsi="Calibri"/>
                <w:bCs/>
                <w:szCs w:val="22"/>
              </w:rPr>
              <w:t xml:space="preserve">n the </w:t>
            </w:r>
            <w:r w:rsidR="00B405E2">
              <w:rPr>
                <w:rFonts w:ascii="Calibri" w:hAnsi="Calibri"/>
                <w:bCs/>
                <w:szCs w:val="22"/>
              </w:rPr>
              <w:t>site</w:t>
            </w:r>
            <w:r w:rsidR="007B0347">
              <w:rPr>
                <w:rFonts w:ascii="Calibri" w:hAnsi="Calibri"/>
                <w:bCs/>
                <w:szCs w:val="22"/>
              </w:rPr>
              <w:t>.</w:t>
            </w:r>
          </w:p>
          <w:p w14:paraId="6FCEF0F3" w14:textId="77777777" w:rsidR="00D62664" w:rsidRDefault="00D62664" w:rsidP="00D62664">
            <w:pPr>
              <w:pStyle w:val="Header"/>
              <w:tabs>
                <w:tab w:val="clear" w:pos="4153"/>
                <w:tab w:val="clear" w:pos="8306"/>
              </w:tabs>
              <w:contextualSpacing/>
              <w:jc w:val="both"/>
              <w:rPr>
                <w:rFonts w:ascii="Calibri" w:hAnsi="Calibri"/>
                <w:bCs/>
                <w:szCs w:val="22"/>
              </w:rPr>
            </w:pPr>
          </w:p>
          <w:p w14:paraId="5C043434" w14:textId="3AE310E5" w:rsidR="007B0347" w:rsidRDefault="00D62664" w:rsidP="00D62664">
            <w:pPr>
              <w:pStyle w:val="Header"/>
              <w:tabs>
                <w:tab w:val="clear" w:pos="4153"/>
                <w:tab w:val="clear" w:pos="8306"/>
              </w:tabs>
              <w:contextualSpacing/>
              <w:jc w:val="both"/>
              <w:rPr>
                <w:rFonts w:ascii="Calibri" w:hAnsi="Calibri" w:cs="Calibri"/>
                <w:bCs/>
                <w:szCs w:val="22"/>
              </w:rPr>
            </w:pPr>
            <w:r w:rsidRPr="00571835">
              <w:rPr>
                <w:rFonts w:ascii="Calibri" w:hAnsi="Calibri" w:cs="Calibri"/>
                <w:bCs/>
                <w:szCs w:val="22"/>
              </w:rPr>
              <w:t xml:space="preserve">Taking account of the location of the proposed units </w:t>
            </w:r>
            <w:r>
              <w:rPr>
                <w:rFonts w:ascii="Calibri" w:hAnsi="Calibri" w:cs="Calibri"/>
                <w:bCs/>
                <w:szCs w:val="22"/>
              </w:rPr>
              <w:t>in relation to</w:t>
            </w:r>
            <w:r w:rsidRPr="00571835">
              <w:rPr>
                <w:rFonts w:ascii="Calibri" w:hAnsi="Calibri" w:cs="Calibri"/>
                <w:bCs/>
                <w:szCs w:val="22"/>
              </w:rPr>
              <w:t xml:space="preserve"> nearby residential receptors the proposal </w:t>
            </w:r>
            <w:r w:rsidR="007B0347">
              <w:rPr>
                <w:rFonts w:ascii="Calibri" w:hAnsi="Calibri" w:cs="Calibri"/>
                <w:bCs/>
                <w:szCs w:val="22"/>
              </w:rPr>
              <w:t xml:space="preserve">could </w:t>
            </w:r>
            <w:r w:rsidRPr="00571835">
              <w:rPr>
                <w:rFonts w:ascii="Calibri" w:hAnsi="Calibri" w:cs="Calibri"/>
                <w:bCs/>
                <w:szCs w:val="22"/>
              </w:rPr>
              <w:t>result in undue impacts upon existing residential amenities.</w:t>
            </w:r>
            <w:r>
              <w:rPr>
                <w:rFonts w:ascii="Calibri" w:hAnsi="Calibri" w:cs="Calibri"/>
                <w:bCs/>
                <w:szCs w:val="22"/>
              </w:rPr>
              <w:t xml:space="preserve"> </w:t>
            </w:r>
            <w:r w:rsidR="00760861">
              <w:rPr>
                <w:rFonts w:ascii="Calibri" w:hAnsi="Calibri" w:cs="Calibri"/>
                <w:bCs/>
                <w:szCs w:val="22"/>
              </w:rPr>
              <w:t>T</w:t>
            </w:r>
            <w:r w:rsidR="00B405E2">
              <w:rPr>
                <w:rFonts w:ascii="Calibri" w:hAnsi="Calibri" w:cs="Calibri"/>
                <w:bCs/>
                <w:szCs w:val="22"/>
              </w:rPr>
              <w:t xml:space="preserve">he submitted </w:t>
            </w:r>
            <w:r>
              <w:rPr>
                <w:rFonts w:ascii="Calibri" w:hAnsi="Calibri" w:cs="Calibri"/>
                <w:bCs/>
                <w:szCs w:val="22"/>
              </w:rPr>
              <w:t xml:space="preserve">noise assessment </w:t>
            </w:r>
            <w:r w:rsidR="00B405E2">
              <w:rPr>
                <w:rFonts w:ascii="Calibri" w:hAnsi="Calibri" w:cs="Calibri"/>
                <w:bCs/>
                <w:szCs w:val="22"/>
              </w:rPr>
              <w:t xml:space="preserve">and the existing commercial uses on the site </w:t>
            </w:r>
            <w:r w:rsidR="00760861">
              <w:rPr>
                <w:rFonts w:ascii="Calibri" w:hAnsi="Calibri" w:cs="Calibri"/>
                <w:bCs/>
                <w:szCs w:val="22"/>
              </w:rPr>
              <w:t xml:space="preserve">have been considered and </w:t>
            </w:r>
            <w:r>
              <w:rPr>
                <w:rFonts w:ascii="Calibri" w:hAnsi="Calibri" w:cs="Calibri"/>
                <w:bCs/>
                <w:szCs w:val="22"/>
              </w:rPr>
              <w:t xml:space="preserve">the potential for </w:t>
            </w:r>
            <w:r w:rsidR="00B405E2">
              <w:rPr>
                <w:rFonts w:ascii="Calibri" w:hAnsi="Calibri" w:cs="Calibri"/>
                <w:bCs/>
                <w:szCs w:val="22"/>
              </w:rPr>
              <w:t xml:space="preserve">increased </w:t>
            </w:r>
            <w:r>
              <w:rPr>
                <w:rFonts w:ascii="Calibri" w:hAnsi="Calibri" w:cs="Calibri"/>
                <w:bCs/>
                <w:szCs w:val="22"/>
              </w:rPr>
              <w:t xml:space="preserve">noise levels that </w:t>
            </w:r>
            <w:r w:rsidR="007B0347">
              <w:rPr>
                <w:rFonts w:ascii="Calibri" w:hAnsi="Calibri" w:cs="Calibri"/>
                <w:bCs/>
                <w:szCs w:val="22"/>
              </w:rPr>
              <w:t>c</w:t>
            </w:r>
            <w:r>
              <w:rPr>
                <w:rFonts w:ascii="Calibri" w:hAnsi="Calibri" w:cs="Calibri"/>
                <w:bCs/>
                <w:szCs w:val="22"/>
              </w:rPr>
              <w:t xml:space="preserve">ould occur from </w:t>
            </w:r>
            <w:r w:rsidR="00B405E2">
              <w:rPr>
                <w:rFonts w:ascii="Calibri" w:hAnsi="Calibri" w:cs="Calibri"/>
                <w:bCs/>
                <w:szCs w:val="22"/>
              </w:rPr>
              <w:t xml:space="preserve">this </w:t>
            </w:r>
            <w:r>
              <w:rPr>
                <w:rFonts w:ascii="Calibri" w:hAnsi="Calibri" w:cs="Calibri"/>
                <w:bCs/>
                <w:szCs w:val="22"/>
              </w:rPr>
              <w:t xml:space="preserve">development </w:t>
            </w:r>
            <w:r w:rsidR="00B405E2">
              <w:rPr>
                <w:rFonts w:ascii="Calibri" w:hAnsi="Calibri" w:cs="Calibri"/>
                <w:bCs/>
                <w:szCs w:val="22"/>
              </w:rPr>
              <w:t xml:space="preserve">have been fully </w:t>
            </w:r>
            <w:r w:rsidR="007B0347">
              <w:rPr>
                <w:rFonts w:ascii="Calibri" w:hAnsi="Calibri" w:cs="Calibri"/>
                <w:bCs/>
                <w:szCs w:val="22"/>
              </w:rPr>
              <w:t>assess</w:t>
            </w:r>
            <w:r w:rsidR="00B405E2">
              <w:rPr>
                <w:rFonts w:ascii="Calibri" w:hAnsi="Calibri" w:cs="Calibri"/>
                <w:bCs/>
                <w:szCs w:val="22"/>
              </w:rPr>
              <w:t>ed</w:t>
            </w:r>
            <w:r>
              <w:rPr>
                <w:rFonts w:ascii="Calibri" w:hAnsi="Calibri" w:cs="Calibri"/>
                <w:bCs/>
                <w:szCs w:val="22"/>
              </w:rPr>
              <w:t>.</w:t>
            </w:r>
            <w:r w:rsidR="007B0347">
              <w:rPr>
                <w:rFonts w:ascii="Calibri" w:hAnsi="Calibri" w:cs="Calibri"/>
                <w:bCs/>
                <w:szCs w:val="22"/>
              </w:rPr>
              <w:t xml:space="preserve"> </w:t>
            </w:r>
          </w:p>
          <w:p w14:paraId="716F166F" w14:textId="77777777" w:rsidR="007B0347" w:rsidRDefault="007B0347" w:rsidP="00D62664">
            <w:pPr>
              <w:pStyle w:val="Header"/>
              <w:tabs>
                <w:tab w:val="clear" w:pos="4153"/>
                <w:tab w:val="clear" w:pos="8306"/>
              </w:tabs>
              <w:contextualSpacing/>
              <w:jc w:val="both"/>
              <w:rPr>
                <w:rFonts w:ascii="Calibri" w:hAnsi="Calibri" w:cs="Calibri"/>
                <w:bCs/>
                <w:szCs w:val="22"/>
              </w:rPr>
            </w:pPr>
          </w:p>
          <w:p w14:paraId="58F12695" w14:textId="2F80F54B" w:rsidR="007B0347" w:rsidRDefault="00B405E2" w:rsidP="00D62664">
            <w:pPr>
              <w:pStyle w:val="Header"/>
              <w:tabs>
                <w:tab w:val="clear" w:pos="4153"/>
                <w:tab w:val="clear" w:pos="8306"/>
              </w:tabs>
              <w:contextualSpacing/>
              <w:jc w:val="both"/>
              <w:rPr>
                <w:rFonts w:ascii="Calibri" w:hAnsi="Calibri" w:cs="Calibri"/>
                <w:bCs/>
                <w:szCs w:val="22"/>
              </w:rPr>
            </w:pPr>
            <w:r w:rsidRPr="00A64B19">
              <w:rPr>
                <w:rFonts w:ascii="Calibri" w:hAnsi="Calibri" w:cs="Calibri"/>
                <w:bCs/>
                <w:szCs w:val="22"/>
              </w:rPr>
              <w:t>It is agreed</w:t>
            </w:r>
            <w:r w:rsidR="00B91FA6" w:rsidRPr="00A64B19">
              <w:rPr>
                <w:rFonts w:ascii="Calibri" w:hAnsi="Calibri" w:cs="Calibri"/>
                <w:bCs/>
                <w:szCs w:val="22"/>
              </w:rPr>
              <w:t xml:space="preserve"> with Environmental Health, </w:t>
            </w:r>
            <w:r w:rsidRPr="00A64B19">
              <w:rPr>
                <w:rFonts w:ascii="Calibri" w:hAnsi="Calibri" w:cs="Calibri"/>
                <w:bCs/>
                <w:szCs w:val="22"/>
              </w:rPr>
              <w:t xml:space="preserve">that the proposed </w:t>
            </w:r>
            <w:r w:rsidR="007B0347" w:rsidRPr="00A64B19">
              <w:rPr>
                <w:rFonts w:ascii="Calibri" w:hAnsi="Calibri" w:cs="Calibri"/>
                <w:bCs/>
                <w:szCs w:val="22"/>
              </w:rPr>
              <w:t xml:space="preserve">levels would be acceptable provided that the mitigation measures set out in Section 6 of the report are </w:t>
            </w:r>
            <w:r w:rsidRPr="00A64B19">
              <w:rPr>
                <w:rFonts w:ascii="Calibri" w:hAnsi="Calibri" w:cs="Calibri"/>
                <w:bCs/>
                <w:szCs w:val="22"/>
              </w:rPr>
              <w:t xml:space="preserve">fully </w:t>
            </w:r>
            <w:r w:rsidR="007B0347" w:rsidRPr="00A64B19">
              <w:rPr>
                <w:rFonts w:ascii="Calibri" w:hAnsi="Calibri" w:cs="Calibri"/>
                <w:bCs/>
                <w:szCs w:val="22"/>
              </w:rPr>
              <w:t>adhered to.  These include:</w:t>
            </w:r>
          </w:p>
          <w:p w14:paraId="59E36320" w14:textId="77777777" w:rsidR="00A64B19" w:rsidRDefault="00A64B19" w:rsidP="00D62664">
            <w:pPr>
              <w:pStyle w:val="Header"/>
              <w:tabs>
                <w:tab w:val="clear" w:pos="4153"/>
                <w:tab w:val="clear" w:pos="8306"/>
              </w:tabs>
              <w:contextualSpacing/>
              <w:jc w:val="both"/>
              <w:rPr>
                <w:rFonts w:ascii="Calibri" w:hAnsi="Calibri" w:cs="Calibri"/>
                <w:bCs/>
                <w:szCs w:val="22"/>
              </w:rPr>
            </w:pPr>
          </w:p>
          <w:p w14:paraId="00645921" w14:textId="38B9AA6E" w:rsidR="00A64B19" w:rsidRDefault="00A64B19" w:rsidP="00A64B19">
            <w:pPr>
              <w:pStyle w:val="Header"/>
              <w:numPr>
                <w:ilvl w:val="0"/>
                <w:numId w:val="18"/>
              </w:numPr>
              <w:tabs>
                <w:tab w:val="clear" w:pos="4153"/>
                <w:tab w:val="clear" w:pos="8306"/>
              </w:tabs>
              <w:contextualSpacing/>
              <w:jc w:val="both"/>
              <w:rPr>
                <w:rFonts w:ascii="Calibri" w:hAnsi="Calibri" w:cs="Calibri"/>
                <w:bCs/>
                <w:szCs w:val="22"/>
              </w:rPr>
            </w:pPr>
            <w:r>
              <w:rPr>
                <w:rFonts w:ascii="Calibri" w:hAnsi="Calibri" w:cs="Calibri"/>
                <w:bCs/>
                <w:szCs w:val="22"/>
              </w:rPr>
              <w:t>Operation times limited to Monday to Friday 7am until 6pm and Saturdays 7am til 1pm;</w:t>
            </w:r>
          </w:p>
          <w:p w14:paraId="40E52EB7" w14:textId="7054A6A5" w:rsidR="00A64B19" w:rsidRDefault="005D1567" w:rsidP="00A64B19">
            <w:pPr>
              <w:pStyle w:val="Header"/>
              <w:numPr>
                <w:ilvl w:val="0"/>
                <w:numId w:val="18"/>
              </w:numPr>
              <w:tabs>
                <w:tab w:val="clear" w:pos="4153"/>
                <w:tab w:val="clear" w:pos="8306"/>
              </w:tabs>
              <w:contextualSpacing/>
              <w:jc w:val="both"/>
              <w:rPr>
                <w:rFonts w:ascii="Calibri" w:hAnsi="Calibri" w:cs="Calibri"/>
                <w:bCs/>
                <w:szCs w:val="22"/>
              </w:rPr>
            </w:pPr>
            <w:r>
              <w:rPr>
                <w:rFonts w:ascii="Calibri" w:hAnsi="Calibri" w:cs="Calibri"/>
                <w:bCs/>
                <w:szCs w:val="22"/>
              </w:rPr>
              <w:t>Rooflights to have the same performance as roof panels;</w:t>
            </w:r>
          </w:p>
          <w:p w14:paraId="04BE0B4D" w14:textId="7F102668" w:rsidR="005D1567" w:rsidRDefault="005D1567" w:rsidP="00A64B19">
            <w:pPr>
              <w:pStyle w:val="Header"/>
              <w:numPr>
                <w:ilvl w:val="0"/>
                <w:numId w:val="18"/>
              </w:numPr>
              <w:tabs>
                <w:tab w:val="clear" w:pos="4153"/>
                <w:tab w:val="clear" w:pos="8306"/>
              </w:tabs>
              <w:contextualSpacing/>
              <w:jc w:val="both"/>
              <w:rPr>
                <w:rFonts w:ascii="Calibri" w:hAnsi="Calibri" w:cs="Calibri"/>
                <w:bCs/>
                <w:szCs w:val="22"/>
              </w:rPr>
            </w:pPr>
            <w:r>
              <w:rPr>
                <w:rFonts w:ascii="Calibri" w:hAnsi="Calibri" w:cs="Calibri"/>
                <w:bCs/>
                <w:szCs w:val="22"/>
              </w:rPr>
              <w:t>Personnel access doors to have some acoustic qualities;</w:t>
            </w:r>
          </w:p>
          <w:p w14:paraId="70916A3B" w14:textId="79BC7431" w:rsidR="005D1567" w:rsidRDefault="005D1567" w:rsidP="00A64B19">
            <w:pPr>
              <w:pStyle w:val="Header"/>
              <w:numPr>
                <w:ilvl w:val="0"/>
                <w:numId w:val="18"/>
              </w:numPr>
              <w:tabs>
                <w:tab w:val="clear" w:pos="4153"/>
                <w:tab w:val="clear" w:pos="8306"/>
              </w:tabs>
              <w:contextualSpacing/>
              <w:jc w:val="both"/>
              <w:rPr>
                <w:rFonts w:ascii="Calibri" w:hAnsi="Calibri" w:cs="Calibri"/>
                <w:bCs/>
                <w:szCs w:val="22"/>
              </w:rPr>
            </w:pPr>
            <w:r>
              <w:rPr>
                <w:rFonts w:ascii="Calibri" w:hAnsi="Calibri" w:cs="Calibri"/>
                <w:bCs/>
                <w:szCs w:val="22"/>
              </w:rPr>
              <w:lastRenderedPageBreak/>
              <w:t>Any cooling or ventilation shall achieve 10dBA below background.</w:t>
            </w:r>
          </w:p>
          <w:p w14:paraId="2B4D9080" w14:textId="77777777" w:rsidR="007B0347" w:rsidRDefault="007B0347" w:rsidP="00D62664">
            <w:pPr>
              <w:pStyle w:val="Header"/>
              <w:tabs>
                <w:tab w:val="clear" w:pos="4153"/>
                <w:tab w:val="clear" w:pos="8306"/>
              </w:tabs>
              <w:contextualSpacing/>
              <w:jc w:val="both"/>
              <w:rPr>
                <w:rFonts w:ascii="Calibri" w:hAnsi="Calibri" w:cs="Calibri"/>
                <w:bCs/>
                <w:szCs w:val="22"/>
              </w:rPr>
            </w:pPr>
          </w:p>
          <w:p w14:paraId="5CEF5A43" w14:textId="5A2EDE7A" w:rsidR="00DA43CF" w:rsidRDefault="00DA43CF" w:rsidP="00D62664">
            <w:pPr>
              <w:pStyle w:val="Header"/>
              <w:tabs>
                <w:tab w:val="clear" w:pos="4153"/>
                <w:tab w:val="clear" w:pos="8306"/>
              </w:tabs>
              <w:contextualSpacing/>
              <w:jc w:val="both"/>
              <w:rPr>
                <w:rFonts w:ascii="Calibri" w:hAnsi="Calibri" w:cs="Calibri"/>
                <w:bCs/>
                <w:szCs w:val="22"/>
              </w:rPr>
            </w:pPr>
            <w:r>
              <w:rPr>
                <w:rFonts w:ascii="Calibri" w:hAnsi="Calibri" w:cs="Calibri"/>
                <w:bCs/>
                <w:szCs w:val="22"/>
              </w:rPr>
              <w:t>The report also references roller shutter doors and window openings to be closed during operation but this would be unreasonable and not enforceable.</w:t>
            </w:r>
          </w:p>
          <w:p w14:paraId="2C3A58BC" w14:textId="77777777" w:rsidR="00DA43CF" w:rsidRDefault="00DA43CF" w:rsidP="00D62664">
            <w:pPr>
              <w:pStyle w:val="Header"/>
              <w:tabs>
                <w:tab w:val="clear" w:pos="4153"/>
                <w:tab w:val="clear" w:pos="8306"/>
              </w:tabs>
              <w:contextualSpacing/>
              <w:jc w:val="both"/>
              <w:rPr>
                <w:rFonts w:ascii="Calibri" w:hAnsi="Calibri" w:cs="Calibri"/>
                <w:bCs/>
                <w:szCs w:val="22"/>
              </w:rPr>
            </w:pPr>
          </w:p>
          <w:p w14:paraId="67E3ED24" w14:textId="457A5573" w:rsidR="007B0347" w:rsidRDefault="006E6633" w:rsidP="00D62664">
            <w:pPr>
              <w:pStyle w:val="Header"/>
              <w:tabs>
                <w:tab w:val="clear" w:pos="4153"/>
                <w:tab w:val="clear" w:pos="8306"/>
              </w:tabs>
              <w:contextualSpacing/>
              <w:jc w:val="both"/>
              <w:rPr>
                <w:rFonts w:ascii="Calibri" w:hAnsi="Calibri" w:cs="Calibri"/>
                <w:bCs/>
                <w:szCs w:val="22"/>
              </w:rPr>
            </w:pPr>
            <w:r>
              <w:rPr>
                <w:rFonts w:ascii="Calibri" w:hAnsi="Calibri" w:cs="Calibri"/>
                <w:bCs/>
                <w:szCs w:val="22"/>
              </w:rPr>
              <w:t xml:space="preserve">Subject to these measures the proposed development would not result in any greater impacts than at present. </w:t>
            </w:r>
            <w:r w:rsidR="007B0347">
              <w:rPr>
                <w:rFonts w:ascii="Calibri" w:hAnsi="Calibri" w:cs="Calibri"/>
                <w:bCs/>
                <w:szCs w:val="22"/>
              </w:rPr>
              <w:t>Th</w:t>
            </w:r>
            <w:r w:rsidR="004C0B62">
              <w:rPr>
                <w:rFonts w:ascii="Calibri" w:hAnsi="Calibri" w:cs="Calibri"/>
                <w:bCs/>
                <w:szCs w:val="22"/>
              </w:rPr>
              <w:t>i</w:t>
            </w:r>
            <w:r w:rsidR="007B0347">
              <w:rPr>
                <w:rFonts w:ascii="Calibri" w:hAnsi="Calibri" w:cs="Calibri"/>
                <w:bCs/>
                <w:szCs w:val="22"/>
              </w:rPr>
              <w:t>s can be controlled by appropriate condition</w:t>
            </w:r>
            <w:r>
              <w:rPr>
                <w:rFonts w:ascii="Calibri" w:hAnsi="Calibri" w:cs="Calibri"/>
                <w:bCs/>
                <w:szCs w:val="22"/>
              </w:rPr>
              <w:t>s</w:t>
            </w:r>
            <w:r w:rsidR="007B0347">
              <w:rPr>
                <w:rFonts w:ascii="Calibri" w:hAnsi="Calibri" w:cs="Calibri"/>
                <w:bCs/>
                <w:szCs w:val="22"/>
              </w:rPr>
              <w:t>.</w:t>
            </w:r>
          </w:p>
          <w:p w14:paraId="645579B0" w14:textId="77777777" w:rsidR="004A2E05" w:rsidRPr="00D23470" w:rsidRDefault="004A2E05" w:rsidP="00D62664">
            <w:pPr>
              <w:contextualSpacing/>
              <w:jc w:val="both"/>
              <w:rPr>
                <w:rFonts w:ascii="Calibri" w:hAnsi="Calibri"/>
                <w:szCs w:val="22"/>
              </w:rPr>
            </w:pPr>
          </w:p>
        </w:tc>
      </w:tr>
      <w:tr w:rsidR="008C75E4" w:rsidRPr="008C75E4" w14:paraId="384BFEB2" w14:textId="77777777" w:rsidTr="00665A44">
        <w:trPr>
          <w:trHeight w:val="864"/>
          <w:jc w:val="center"/>
        </w:trPr>
        <w:tc>
          <w:tcPr>
            <w:tcW w:w="9640" w:type="dxa"/>
            <w:gridSpan w:val="13"/>
            <w:tcMar>
              <w:top w:w="57" w:type="dxa"/>
              <w:bottom w:w="57" w:type="dxa"/>
            </w:tcMar>
          </w:tcPr>
          <w:p w14:paraId="77732A5F" w14:textId="77777777"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p>
          <w:p w14:paraId="296FA1DD" w14:textId="77777777" w:rsidR="004A2E05" w:rsidRDefault="004A2E05" w:rsidP="00454754">
            <w:pPr>
              <w:contextualSpacing/>
              <w:jc w:val="both"/>
              <w:rPr>
                <w:rFonts w:ascii="Calibri" w:hAnsi="Calibri"/>
                <w:szCs w:val="22"/>
              </w:rPr>
            </w:pPr>
          </w:p>
          <w:p w14:paraId="566A28F4" w14:textId="77777777"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Policy DMG1 is engaged insofar that it largely relates to all built-form development proposed within the borough, in this respect Policy DMG1 reads as follows:</w:t>
            </w:r>
          </w:p>
          <w:p w14:paraId="41B20E47" w14:textId="77777777" w:rsidR="00D62664" w:rsidRDefault="00D62664" w:rsidP="00D62664">
            <w:pPr>
              <w:pStyle w:val="Header"/>
              <w:tabs>
                <w:tab w:val="clear" w:pos="4153"/>
                <w:tab w:val="clear" w:pos="8306"/>
              </w:tabs>
              <w:contextualSpacing/>
              <w:jc w:val="both"/>
              <w:rPr>
                <w:rFonts w:ascii="Calibri" w:hAnsi="Calibri"/>
                <w:bCs/>
                <w:szCs w:val="22"/>
              </w:rPr>
            </w:pPr>
          </w:p>
          <w:p w14:paraId="66DA9A60" w14:textId="77777777" w:rsidR="00D62664" w:rsidRPr="00FF381E" w:rsidRDefault="00D62664" w:rsidP="00D62664">
            <w:pPr>
              <w:jc w:val="both"/>
              <w:rPr>
                <w:rFonts w:ascii="Calibri" w:hAnsi="Calibri" w:cs="Calibri"/>
                <w:i/>
                <w:iCs/>
                <w:szCs w:val="22"/>
              </w:rPr>
            </w:pPr>
            <w:r w:rsidRPr="00FF381E">
              <w:rPr>
                <w:rFonts w:ascii="Calibri" w:hAnsi="Calibri" w:cs="Calibri"/>
                <w:i/>
                <w:iCs/>
                <w:szCs w:val="22"/>
              </w:rPr>
              <w:t>In determining planning applications, all development must:</w:t>
            </w:r>
          </w:p>
          <w:p w14:paraId="6B6133E2" w14:textId="77777777" w:rsidR="00D62664" w:rsidRPr="00FF381E" w:rsidRDefault="00D62664" w:rsidP="00D62664">
            <w:pPr>
              <w:jc w:val="both"/>
              <w:rPr>
                <w:rFonts w:ascii="Calibri" w:hAnsi="Calibri" w:cs="Calibri"/>
                <w:i/>
                <w:iCs/>
                <w:szCs w:val="22"/>
              </w:rPr>
            </w:pPr>
          </w:p>
          <w:p w14:paraId="0B104B3B" w14:textId="77777777" w:rsidR="00D62664" w:rsidRPr="00FF381E" w:rsidRDefault="00D62664" w:rsidP="00D62664">
            <w:pPr>
              <w:pStyle w:val="ListParagraph"/>
              <w:numPr>
                <w:ilvl w:val="0"/>
                <w:numId w:val="15"/>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Be of a high standard of building design which considers the 8 building in context principles (from the CABE/English Heritage building on context toolkit.</w:t>
            </w:r>
          </w:p>
          <w:p w14:paraId="0B22E017" w14:textId="77777777" w:rsidR="00D62664" w:rsidRPr="00FF381E" w:rsidRDefault="00D62664" w:rsidP="00D62664">
            <w:pPr>
              <w:pStyle w:val="ListParagraph"/>
              <w:numPr>
                <w:ilvl w:val="0"/>
                <w:numId w:val="15"/>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Be sympathetic to existing and proposed land uses in terms of its size, intensity, and nature as well as scale, massing, style, features and building materials.</w:t>
            </w:r>
          </w:p>
          <w:p w14:paraId="53FB9B09" w14:textId="77777777" w:rsidR="00D62664" w:rsidRPr="00FF381E" w:rsidRDefault="00D62664" w:rsidP="00D62664">
            <w:pPr>
              <w:pStyle w:val="ListParagraph"/>
              <w:numPr>
                <w:ilvl w:val="0"/>
                <w:numId w:val="15"/>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p>
          <w:p w14:paraId="76778973" w14:textId="77777777" w:rsidR="00D62664" w:rsidRPr="00FF381E" w:rsidRDefault="00D62664" w:rsidP="00D62664">
            <w:pPr>
              <w:pStyle w:val="ListParagraph"/>
              <w:numPr>
                <w:ilvl w:val="0"/>
                <w:numId w:val="15"/>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Use sustainable construction techniques where possible and provide evidence that energy efficiency, as described within policy DME5, has been incorporated into schemes where possible.</w:t>
            </w:r>
          </w:p>
          <w:p w14:paraId="62E0F12B" w14:textId="77777777" w:rsidR="00D62664" w:rsidRPr="00FF381E" w:rsidRDefault="00D62664" w:rsidP="00D62664">
            <w:pPr>
              <w:pStyle w:val="ListParagraph"/>
              <w:numPr>
                <w:ilvl w:val="0"/>
                <w:numId w:val="15"/>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the code for sustainable homes and lifetime homes, or any subsequent nationally recognised equivalent standards, should be incorporated into schemes.</w:t>
            </w:r>
          </w:p>
          <w:p w14:paraId="6A90EA24" w14:textId="77777777" w:rsidR="00D62664" w:rsidRPr="00FF381E" w:rsidRDefault="00D62664" w:rsidP="00D62664">
            <w:pPr>
              <w:jc w:val="both"/>
              <w:rPr>
                <w:rFonts w:ascii="Calibri" w:hAnsi="Calibri" w:cs="Calibri"/>
                <w:b/>
                <w:bCs/>
                <w:i/>
                <w:iCs/>
                <w:szCs w:val="22"/>
              </w:rPr>
            </w:pPr>
          </w:p>
          <w:p w14:paraId="54735A04" w14:textId="77777777" w:rsidR="00D62664" w:rsidRPr="00FF381E" w:rsidRDefault="00D62664" w:rsidP="00D62664">
            <w:pPr>
              <w:jc w:val="both"/>
              <w:rPr>
                <w:rFonts w:ascii="Calibri" w:hAnsi="Calibri" w:cs="Calibri"/>
                <w:i/>
                <w:iCs/>
                <w:szCs w:val="22"/>
              </w:rPr>
            </w:pPr>
            <w:r w:rsidRPr="00FF381E">
              <w:rPr>
                <w:rFonts w:ascii="Calibri" w:hAnsi="Calibri" w:cs="Calibri"/>
                <w:i/>
                <w:iCs/>
                <w:szCs w:val="22"/>
              </w:rPr>
              <w:t>ACCESS</w:t>
            </w:r>
          </w:p>
          <w:p w14:paraId="68513DB7" w14:textId="77777777" w:rsidR="00D62664" w:rsidRPr="00FF381E" w:rsidRDefault="00D62664" w:rsidP="00D62664">
            <w:pPr>
              <w:jc w:val="both"/>
              <w:rPr>
                <w:rFonts w:ascii="Calibri" w:hAnsi="Calibri" w:cs="Calibri"/>
                <w:b/>
                <w:bCs/>
                <w:i/>
                <w:iCs/>
                <w:szCs w:val="22"/>
              </w:rPr>
            </w:pPr>
          </w:p>
          <w:p w14:paraId="0FB995C3" w14:textId="77777777" w:rsidR="00D62664" w:rsidRPr="00FF381E" w:rsidRDefault="00D62664" w:rsidP="00D62664">
            <w:pPr>
              <w:pStyle w:val="ListParagraph"/>
              <w:numPr>
                <w:ilvl w:val="0"/>
                <w:numId w:val="16"/>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Consider the potential traffic and car parking implications.</w:t>
            </w:r>
          </w:p>
          <w:p w14:paraId="5DB30C1E" w14:textId="77777777" w:rsidR="00D62664" w:rsidRPr="00FF381E" w:rsidRDefault="00D62664" w:rsidP="00D62664">
            <w:pPr>
              <w:pStyle w:val="ListParagraph"/>
              <w:numPr>
                <w:ilvl w:val="0"/>
                <w:numId w:val="16"/>
              </w:numPr>
              <w:overflowPunct/>
              <w:autoSpaceDE/>
              <w:autoSpaceDN/>
              <w:adjustRightInd/>
              <w:jc w:val="both"/>
              <w:textAlignment w:val="auto"/>
              <w:rPr>
                <w:rFonts w:ascii="Calibri" w:hAnsi="Calibri" w:cs="Calibri"/>
                <w:i/>
                <w:iCs/>
                <w:szCs w:val="22"/>
              </w:rPr>
            </w:pPr>
            <w:r w:rsidRPr="00FF381E">
              <w:rPr>
                <w:rFonts w:ascii="Calibri" w:hAnsi="Calibri" w:cs="Calibri"/>
                <w:i/>
                <w:iCs/>
                <w:szCs w:val="22"/>
              </w:rPr>
              <w:t>Ensure safe access can be provided which is suitable to accommodate the scale and type of traffic likely to be generated.</w:t>
            </w:r>
          </w:p>
          <w:p w14:paraId="38E4B02B" w14:textId="77777777" w:rsidR="00D62664" w:rsidRPr="00FF381E" w:rsidRDefault="00D62664" w:rsidP="00D62664">
            <w:pPr>
              <w:pStyle w:val="ListParagraph"/>
              <w:numPr>
                <w:ilvl w:val="0"/>
                <w:numId w:val="16"/>
              </w:numPr>
              <w:overflowPunct/>
              <w:autoSpaceDE/>
              <w:autoSpaceDN/>
              <w:adjustRightInd/>
              <w:jc w:val="both"/>
              <w:textAlignment w:val="auto"/>
              <w:rPr>
                <w:rFonts w:ascii="Calibri" w:hAnsi="Calibri" w:cs="Calibri"/>
                <w:i/>
                <w:iCs/>
                <w:szCs w:val="22"/>
              </w:rPr>
            </w:pPr>
            <w:r w:rsidRPr="00FF381E">
              <w:rPr>
                <w:rFonts w:ascii="Calibri" w:eastAsia="Calibri" w:hAnsi="Calibri" w:cs="Calibri"/>
                <w:i/>
                <w:iCs/>
                <w:szCs w:val="22"/>
              </w:rPr>
              <w:t>Consider the protection and enhancement of public rights of way and access.</w:t>
            </w:r>
          </w:p>
          <w:p w14:paraId="38473039" w14:textId="77777777" w:rsidR="00D62664" w:rsidRPr="00FF381E" w:rsidRDefault="00D62664" w:rsidP="00D62664">
            <w:pPr>
              <w:jc w:val="both"/>
              <w:rPr>
                <w:rFonts w:ascii="Calibri" w:hAnsi="Calibri" w:cs="Calibri"/>
                <w:szCs w:val="22"/>
              </w:rPr>
            </w:pPr>
          </w:p>
          <w:p w14:paraId="1E11C2F1" w14:textId="16C58FCC"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not within an open countryside location and is an existing commercial/industrial </w:t>
            </w:r>
            <w:r w:rsidR="00E35809">
              <w:rPr>
                <w:rFonts w:ascii="Calibri" w:hAnsi="Calibri"/>
                <w:bCs/>
                <w:szCs w:val="22"/>
              </w:rPr>
              <w:t>site</w:t>
            </w:r>
            <w:r>
              <w:rPr>
                <w:rFonts w:ascii="Calibri" w:hAnsi="Calibri"/>
                <w:bCs/>
                <w:szCs w:val="22"/>
              </w:rPr>
              <w:t xml:space="preserve"> and therefore the proposed design would not be out of keeping with the proposed use.  </w:t>
            </w:r>
            <w:r w:rsidR="00E35809">
              <w:rPr>
                <w:rFonts w:ascii="Calibri" w:hAnsi="Calibri"/>
                <w:bCs/>
                <w:szCs w:val="22"/>
              </w:rPr>
              <w:t xml:space="preserve">With the provision of </w:t>
            </w:r>
            <w:r w:rsidR="006E6633">
              <w:rPr>
                <w:rFonts w:ascii="Calibri" w:hAnsi="Calibri"/>
                <w:bCs/>
                <w:szCs w:val="22"/>
              </w:rPr>
              <w:t>first-floor</w:t>
            </w:r>
            <w:r w:rsidR="00E35809">
              <w:rPr>
                <w:rFonts w:ascii="Calibri" w:hAnsi="Calibri"/>
                <w:bCs/>
                <w:szCs w:val="22"/>
              </w:rPr>
              <w:t xml:space="preserve"> windows </w:t>
            </w:r>
            <w:r w:rsidR="006E6633">
              <w:rPr>
                <w:rFonts w:ascii="Calibri" w:hAnsi="Calibri"/>
                <w:bCs/>
                <w:szCs w:val="22"/>
              </w:rPr>
              <w:t xml:space="preserve">to the units within Block A </w:t>
            </w:r>
            <w:r w:rsidR="00E35809">
              <w:rPr>
                <w:rFonts w:ascii="Calibri" w:hAnsi="Calibri"/>
                <w:bCs/>
                <w:szCs w:val="22"/>
              </w:rPr>
              <w:t>that serve the partial mezzanine floor this adds some v</w:t>
            </w:r>
            <w:r>
              <w:rPr>
                <w:rFonts w:ascii="Calibri" w:hAnsi="Calibri"/>
                <w:bCs/>
                <w:szCs w:val="22"/>
              </w:rPr>
              <w:t xml:space="preserve">isual interest to the design of the rear of </w:t>
            </w:r>
            <w:r w:rsidR="006E6633">
              <w:rPr>
                <w:rFonts w:ascii="Calibri" w:hAnsi="Calibri"/>
                <w:bCs/>
                <w:szCs w:val="22"/>
              </w:rPr>
              <w:t xml:space="preserve">this </w:t>
            </w:r>
            <w:r>
              <w:rPr>
                <w:rFonts w:ascii="Calibri" w:hAnsi="Calibri"/>
                <w:bCs/>
                <w:szCs w:val="22"/>
              </w:rPr>
              <w:t>Unit and result</w:t>
            </w:r>
            <w:r w:rsidR="001C5CF0">
              <w:rPr>
                <w:rFonts w:ascii="Calibri" w:hAnsi="Calibri"/>
                <w:bCs/>
                <w:szCs w:val="22"/>
              </w:rPr>
              <w:t>s</w:t>
            </w:r>
            <w:r>
              <w:rPr>
                <w:rFonts w:ascii="Calibri" w:hAnsi="Calibri"/>
                <w:bCs/>
                <w:szCs w:val="22"/>
              </w:rPr>
              <w:t xml:space="preserve"> in a less inward facing development.</w:t>
            </w:r>
          </w:p>
          <w:p w14:paraId="2A704EED" w14:textId="77777777" w:rsidR="00D62664" w:rsidRDefault="00D62664" w:rsidP="00D62664">
            <w:pPr>
              <w:pStyle w:val="Header"/>
              <w:tabs>
                <w:tab w:val="clear" w:pos="4153"/>
                <w:tab w:val="clear" w:pos="8306"/>
              </w:tabs>
              <w:contextualSpacing/>
              <w:jc w:val="both"/>
              <w:rPr>
                <w:rFonts w:ascii="Calibri" w:hAnsi="Calibri"/>
                <w:bCs/>
                <w:szCs w:val="22"/>
              </w:rPr>
            </w:pPr>
          </w:p>
          <w:p w14:paraId="3190967E" w14:textId="52290D61" w:rsidR="00D62664" w:rsidRPr="00FA4C79" w:rsidRDefault="00D62664" w:rsidP="00D62664">
            <w:pPr>
              <w:pStyle w:val="Header"/>
              <w:tabs>
                <w:tab w:val="clear" w:pos="4153"/>
                <w:tab w:val="clear" w:pos="8306"/>
              </w:tabs>
              <w:contextualSpacing/>
              <w:jc w:val="both"/>
              <w:rPr>
                <w:rFonts w:ascii="Calibri" w:hAnsi="Calibri"/>
                <w:bCs/>
                <w:szCs w:val="22"/>
              </w:rPr>
            </w:pPr>
            <w:r w:rsidRPr="00FA4C79">
              <w:rPr>
                <w:rFonts w:ascii="Calibri" w:hAnsi="Calibri"/>
                <w:bCs/>
                <w:szCs w:val="22"/>
              </w:rPr>
              <w:t>The site is close to Public Rights of Way FP</w:t>
            </w:r>
            <w:r>
              <w:rPr>
                <w:rFonts w:ascii="Calibri" w:hAnsi="Calibri"/>
                <w:bCs/>
                <w:szCs w:val="22"/>
              </w:rPr>
              <w:t>3 which runs along the highway to the east and north of the site</w:t>
            </w:r>
            <w:r w:rsidRPr="00FA4C79">
              <w:rPr>
                <w:rFonts w:ascii="Calibri" w:hAnsi="Calibri"/>
                <w:bCs/>
                <w:szCs w:val="22"/>
              </w:rPr>
              <w:t xml:space="preserve"> </w:t>
            </w:r>
            <w:r w:rsidR="001C5CF0">
              <w:rPr>
                <w:rFonts w:ascii="Calibri" w:hAnsi="Calibri"/>
                <w:bCs/>
                <w:szCs w:val="22"/>
              </w:rPr>
              <w:t xml:space="preserve">there would be limited </w:t>
            </w:r>
            <w:r w:rsidRPr="00FA4C79">
              <w:rPr>
                <w:rFonts w:ascii="Calibri" w:hAnsi="Calibri"/>
                <w:bCs/>
                <w:szCs w:val="22"/>
              </w:rPr>
              <w:t xml:space="preserve">impact </w:t>
            </w:r>
            <w:r w:rsidR="001C5CF0">
              <w:rPr>
                <w:rFonts w:ascii="Calibri" w:hAnsi="Calibri"/>
                <w:bCs/>
                <w:szCs w:val="22"/>
              </w:rPr>
              <w:t>from</w:t>
            </w:r>
            <w:r w:rsidRPr="00FA4C79">
              <w:rPr>
                <w:rFonts w:ascii="Calibri" w:hAnsi="Calibri"/>
                <w:bCs/>
                <w:szCs w:val="22"/>
              </w:rPr>
              <w:t xml:space="preserve"> the development on public viewpoints </w:t>
            </w:r>
            <w:r w:rsidR="001C5CF0">
              <w:rPr>
                <w:rFonts w:ascii="Calibri" w:hAnsi="Calibri"/>
                <w:bCs/>
                <w:szCs w:val="22"/>
              </w:rPr>
              <w:t xml:space="preserve">due to the </w:t>
            </w:r>
            <w:r w:rsidRPr="00FA4C79">
              <w:rPr>
                <w:rFonts w:ascii="Calibri" w:hAnsi="Calibri"/>
                <w:bCs/>
                <w:szCs w:val="22"/>
              </w:rPr>
              <w:t xml:space="preserve">site configuration and </w:t>
            </w:r>
            <w:r w:rsidR="001C5CF0">
              <w:rPr>
                <w:rFonts w:ascii="Calibri" w:hAnsi="Calibri"/>
                <w:bCs/>
                <w:szCs w:val="22"/>
              </w:rPr>
              <w:t xml:space="preserve">existing </w:t>
            </w:r>
            <w:r w:rsidRPr="00FA4C79">
              <w:rPr>
                <w:rFonts w:ascii="Calibri" w:hAnsi="Calibri"/>
                <w:bCs/>
                <w:szCs w:val="22"/>
              </w:rPr>
              <w:t>development o</w:t>
            </w:r>
            <w:r w:rsidR="001C5CF0">
              <w:rPr>
                <w:rFonts w:ascii="Calibri" w:hAnsi="Calibri"/>
                <w:bCs/>
                <w:szCs w:val="22"/>
              </w:rPr>
              <w:t>n</w:t>
            </w:r>
            <w:r w:rsidRPr="00FA4C79">
              <w:rPr>
                <w:rFonts w:ascii="Calibri" w:hAnsi="Calibri"/>
                <w:bCs/>
                <w:szCs w:val="22"/>
              </w:rPr>
              <w:t xml:space="preserve"> the site</w:t>
            </w:r>
            <w:r>
              <w:rPr>
                <w:rFonts w:ascii="Calibri" w:hAnsi="Calibri"/>
                <w:bCs/>
                <w:szCs w:val="22"/>
              </w:rPr>
              <w:t>.</w:t>
            </w:r>
          </w:p>
          <w:p w14:paraId="12EA22B0" w14:textId="77777777" w:rsidR="00D62664" w:rsidRPr="00795EA7" w:rsidRDefault="00D62664" w:rsidP="00D62664">
            <w:pPr>
              <w:pStyle w:val="Header"/>
              <w:tabs>
                <w:tab w:val="clear" w:pos="4153"/>
                <w:tab w:val="clear" w:pos="8306"/>
              </w:tabs>
              <w:contextualSpacing/>
              <w:jc w:val="both"/>
              <w:rPr>
                <w:rFonts w:ascii="Calibri" w:hAnsi="Calibri"/>
                <w:bCs/>
                <w:color w:val="FF0000"/>
                <w:szCs w:val="22"/>
              </w:rPr>
            </w:pPr>
          </w:p>
          <w:p w14:paraId="0DF2D10F" w14:textId="2ED9A1E4" w:rsidR="006E6633" w:rsidRPr="001C5CF0" w:rsidRDefault="001C5CF0" w:rsidP="006E6633">
            <w:pPr>
              <w:pStyle w:val="Header"/>
              <w:tabs>
                <w:tab w:val="clear" w:pos="4153"/>
                <w:tab w:val="clear" w:pos="8306"/>
              </w:tabs>
              <w:contextualSpacing/>
              <w:jc w:val="both"/>
              <w:rPr>
                <w:rFonts w:ascii="Calibri" w:hAnsi="Calibri"/>
                <w:bCs/>
                <w:szCs w:val="22"/>
              </w:rPr>
            </w:pPr>
            <w:r w:rsidRPr="001C5CF0">
              <w:rPr>
                <w:rFonts w:ascii="Calibri" w:hAnsi="Calibri"/>
                <w:bCs/>
                <w:szCs w:val="22"/>
              </w:rPr>
              <w:t xml:space="preserve">In terms of the </w:t>
            </w:r>
            <w:r w:rsidR="00D62664" w:rsidRPr="001C5CF0">
              <w:rPr>
                <w:rFonts w:ascii="Calibri" w:hAnsi="Calibri"/>
                <w:bCs/>
                <w:szCs w:val="22"/>
              </w:rPr>
              <w:t xml:space="preserve">proposed materials </w:t>
            </w:r>
            <w:r w:rsidR="006E6633">
              <w:rPr>
                <w:rFonts w:ascii="Calibri" w:hAnsi="Calibri"/>
                <w:bCs/>
                <w:szCs w:val="22"/>
              </w:rPr>
              <w:t xml:space="preserve">Unit 1 </w:t>
            </w:r>
            <w:r w:rsidRPr="001C5CF0">
              <w:rPr>
                <w:rFonts w:ascii="Calibri" w:hAnsi="Calibri"/>
                <w:bCs/>
                <w:szCs w:val="22"/>
              </w:rPr>
              <w:t>consist of red muti-facing brick and Kingspan horizontal cladding in Camoflage Green</w:t>
            </w:r>
            <w:r w:rsidR="006E6633">
              <w:rPr>
                <w:rFonts w:ascii="Calibri" w:hAnsi="Calibri"/>
                <w:bCs/>
                <w:szCs w:val="22"/>
              </w:rPr>
              <w:t xml:space="preserve"> to the elevations</w:t>
            </w:r>
            <w:r w:rsidRPr="001C5CF0">
              <w:rPr>
                <w:rFonts w:ascii="Calibri" w:hAnsi="Calibri"/>
                <w:bCs/>
                <w:szCs w:val="22"/>
              </w:rPr>
              <w:t xml:space="preserve">.  </w:t>
            </w:r>
            <w:r>
              <w:rPr>
                <w:rFonts w:ascii="Calibri" w:hAnsi="Calibri"/>
                <w:bCs/>
                <w:szCs w:val="22"/>
              </w:rPr>
              <w:t>The roof is proposed to Kingspan cladding in Goosewing Grey with polycarbonate triple glazed rooflights and photovoltaic roof panels.</w:t>
            </w:r>
            <w:r w:rsidR="006E6633">
              <w:rPr>
                <w:rFonts w:ascii="Calibri" w:hAnsi="Calibri"/>
                <w:bCs/>
                <w:szCs w:val="22"/>
              </w:rPr>
              <w:t xml:space="preserve"> Unit 2 </w:t>
            </w:r>
            <w:r w:rsidR="006E6633" w:rsidRPr="001C5CF0">
              <w:rPr>
                <w:rFonts w:ascii="Calibri" w:hAnsi="Calibri"/>
                <w:bCs/>
                <w:szCs w:val="22"/>
              </w:rPr>
              <w:t xml:space="preserve">consist of red muti-facing brick and Kingspan horizontal cladding in </w:t>
            </w:r>
            <w:r w:rsidR="006E6633">
              <w:rPr>
                <w:rFonts w:ascii="Calibri" w:hAnsi="Calibri"/>
                <w:bCs/>
                <w:szCs w:val="22"/>
              </w:rPr>
              <w:t xml:space="preserve">Olive </w:t>
            </w:r>
            <w:r w:rsidR="006E6633" w:rsidRPr="001C5CF0">
              <w:rPr>
                <w:rFonts w:ascii="Calibri" w:hAnsi="Calibri"/>
                <w:bCs/>
                <w:szCs w:val="22"/>
              </w:rPr>
              <w:t>Green</w:t>
            </w:r>
            <w:r w:rsidR="006E6633">
              <w:rPr>
                <w:rFonts w:ascii="Calibri" w:hAnsi="Calibri"/>
                <w:bCs/>
                <w:szCs w:val="22"/>
              </w:rPr>
              <w:t xml:space="preserve"> to the elevations</w:t>
            </w:r>
            <w:r w:rsidR="006E6633" w:rsidRPr="001C5CF0">
              <w:rPr>
                <w:rFonts w:ascii="Calibri" w:hAnsi="Calibri"/>
                <w:bCs/>
                <w:szCs w:val="22"/>
              </w:rPr>
              <w:t xml:space="preserve">.  </w:t>
            </w:r>
            <w:r w:rsidR="006E6633">
              <w:rPr>
                <w:rFonts w:ascii="Calibri" w:hAnsi="Calibri"/>
                <w:bCs/>
                <w:szCs w:val="22"/>
              </w:rPr>
              <w:t>The roof is proposed to Kingspan cladding in Goosewing Grey with polycarbonate triple glazed rooflights and photovoltaic roof panels.</w:t>
            </w:r>
          </w:p>
          <w:p w14:paraId="374AF5CE" w14:textId="77777777" w:rsidR="006E6633" w:rsidRDefault="006E6633" w:rsidP="006E6633">
            <w:pPr>
              <w:pStyle w:val="Header"/>
              <w:tabs>
                <w:tab w:val="clear" w:pos="4153"/>
                <w:tab w:val="clear" w:pos="8306"/>
              </w:tabs>
              <w:contextualSpacing/>
              <w:jc w:val="both"/>
              <w:rPr>
                <w:rFonts w:ascii="Calibri" w:hAnsi="Calibri"/>
                <w:bCs/>
                <w:szCs w:val="22"/>
                <w:highlight w:val="yellow"/>
              </w:rPr>
            </w:pPr>
          </w:p>
          <w:p w14:paraId="18F2259F" w14:textId="1044E322"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It is considered that </w:t>
            </w:r>
            <w:r w:rsidR="006E6633">
              <w:rPr>
                <w:rFonts w:ascii="Calibri" w:hAnsi="Calibri"/>
                <w:bCs/>
                <w:szCs w:val="22"/>
              </w:rPr>
              <w:t>the re</w:t>
            </w:r>
            <w:r w:rsidRPr="00FA4C79">
              <w:rPr>
                <w:rFonts w:ascii="Calibri" w:hAnsi="Calibri"/>
                <w:bCs/>
                <w:szCs w:val="22"/>
              </w:rPr>
              <w:t xml:space="preserve">development of this </w:t>
            </w:r>
            <w:r w:rsidR="006E6633">
              <w:rPr>
                <w:rFonts w:ascii="Calibri" w:hAnsi="Calibri"/>
                <w:bCs/>
                <w:szCs w:val="22"/>
              </w:rPr>
              <w:t xml:space="preserve">site </w:t>
            </w:r>
            <w:r>
              <w:rPr>
                <w:rFonts w:ascii="Calibri" w:hAnsi="Calibri"/>
                <w:bCs/>
                <w:szCs w:val="22"/>
              </w:rPr>
              <w:t xml:space="preserve">would </w:t>
            </w:r>
            <w:r w:rsidRPr="00FA4C79">
              <w:rPr>
                <w:rFonts w:ascii="Calibri" w:hAnsi="Calibri"/>
                <w:bCs/>
                <w:szCs w:val="22"/>
              </w:rPr>
              <w:t>satisfy policy requirement</w:t>
            </w:r>
            <w:r w:rsidR="006E6633">
              <w:rPr>
                <w:rFonts w:ascii="Calibri" w:hAnsi="Calibri"/>
                <w:bCs/>
                <w:szCs w:val="22"/>
              </w:rPr>
              <w:t>s</w:t>
            </w:r>
            <w:r w:rsidRPr="00FA4C79">
              <w:rPr>
                <w:rFonts w:ascii="Calibri" w:hAnsi="Calibri"/>
                <w:bCs/>
                <w:szCs w:val="22"/>
              </w:rPr>
              <w:t xml:space="preserve"> </w:t>
            </w:r>
            <w:r w:rsidR="006E6633">
              <w:rPr>
                <w:rFonts w:ascii="Calibri" w:hAnsi="Calibri"/>
                <w:bCs/>
                <w:szCs w:val="22"/>
              </w:rPr>
              <w:t>subject to appropriate l</w:t>
            </w:r>
            <w:r w:rsidRPr="00FA4C79">
              <w:rPr>
                <w:rFonts w:ascii="Calibri" w:hAnsi="Calibri"/>
                <w:bCs/>
                <w:szCs w:val="22"/>
              </w:rPr>
              <w:t xml:space="preserve">andscaping </w:t>
            </w:r>
            <w:r w:rsidR="006E6633">
              <w:rPr>
                <w:rFonts w:ascii="Calibri" w:hAnsi="Calibri"/>
                <w:bCs/>
                <w:szCs w:val="22"/>
              </w:rPr>
              <w:t xml:space="preserve">buffers which would assist in mitigating </w:t>
            </w:r>
            <w:r w:rsidRPr="00FA4C79">
              <w:rPr>
                <w:rFonts w:ascii="Calibri" w:hAnsi="Calibri"/>
                <w:bCs/>
                <w:szCs w:val="22"/>
              </w:rPr>
              <w:t xml:space="preserve">against </w:t>
            </w:r>
            <w:r>
              <w:rPr>
                <w:rFonts w:ascii="Calibri" w:hAnsi="Calibri"/>
                <w:bCs/>
                <w:szCs w:val="22"/>
              </w:rPr>
              <w:t>potential impact</w:t>
            </w:r>
            <w:r w:rsidR="006E6633">
              <w:rPr>
                <w:rFonts w:ascii="Calibri" w:hAnsi="Calibri"/>
                <w:bCs/>
                <w:szCs w:val="22"/>
              </w:rPr>
              <w:t>s</w:t>
            </w:r>
            <w:r w:rsidRPr="00FA4C79">
              <w:rPr>
                <w:rFonts w:ascii="Calibri" w:hAnsi="Calibri"/>
                <w:bCs/>
                <w:szCs w:val="22"/>
              </w:rPr>
              <w:t xml:space="preserve">. </w:t>
            </w:r>
          </w:p>
          <w:p w14:paraId="452F07D3" w14:textId="41B3CAEB" w:rsidR="00EF2425" w:rsidRPr="00545D8C" w:rsidRDefault="00EF2425" w:rsidP="00454754">
            <w:pPr>
              <w:contextualSpacing/>
              <w:jc w:val="both"/>
              <w:rPr>
                <w:rFonts w:ascii="Calibri" w:hAnsi="Calibri"/>
                <w:szCs w:val="22"/>
              </w:rPr>
            </w:pPr>
          </w:p>
        </w:tc>
      </w:tr>
      <w:tr w:rsidR="008C75E4" w:rsidRPr="008C75E4" w14:paraId="165534AB" w14:textId="77777777" w:rsidTr="00665A44">
        <w:trPr>
          <w:trHeight w:val="864"/>
          <w:jc w:val="center"/>
        </w:trPr>
        <w:tc>
          <w:tcPr>
            <w:tcW w:w="9640" w:type="dxa"/>
            <w:gridSpan w:val="13"/>
            <w:tcMar>
              <w:top w:w="57" w:type="dxa"/>
              <w:bottom w:w="57" w:type="dxa"/>
            </w:tcMar>
          </w:tcPr>
          <w:p w14:paraId="5676D2B9" w14:textId="77777777" w:rsidR="00C0704D" w:rsidRDefault="007C5713" w:rsidP="006126D1">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w:t>
            </w:r>
          </w:p>
          <w:p w14:paraId="3F510245" w14:textId="77777777" w:rsidR="004A2E05" w:rsidRDefault="004A2E05" w:rsidP="00454754">
            <w:pPr>
              <w:pStyle w:val="Header"/>
              <w:tabs>
                <w:tab w:val="clear" w:pos="4153"/>
                <w:tab w:val="clear" w:pos="8306"/>
              </w:tabs>
              <w:contextualSpacing/>
              <w:jc w:val="both"/>
              <w:rPr>
                <w:rFonts w:ascii="Calibri" w:hAnsi="Calibri"/>
                <w:szCs w:val="22"/>
              </w:rPr>
            </w:pPr>
          </w:p>
          <w:p w14:paraId="6E1307C0" w14:textId="1D042353" w:rsidR="004C0B62"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The existing access off Pleckgate Road is proposed to serve the development and LCC Highways </w:t>
            </w:r>
            <w:r w:rsidR="00D95388">
              <w:rPr>
                <w:rFonts w:ascii="Calibri" w:hAnsi="Calibri"/>
                <w:bCs/>
                <w:szCs w:val="22"/>
              </w:rPr>
              <w:t>have</w:t>
            </w:r>
            <w:r>
              <w:rPr>
                <w:rFonts w:ascii="Calibri" w:hAnsi="Calibri"/>
                <w:bCs/>
                <w:szCs w:val="22"/>
              </w:rPr>
              <w:t xml:space="preserve"> advise</w:t>
            </w:r>
            <w:r w:rsidR="00D95388">
              <w:rPr>
                <w:rFonts w:ascii="Calibri" w:hAnsi="Calibri"/>
                <w:bCs/>
                <w:szCs w:val="22"/>
              </w:rPr>
              <w:t>d</w:t>
            </w:r>
            <w:r>
              <w:rPr>
                <w:rFonts w:ascii="Calibri" w:hAnsi="Calibri"/>
                <w:bCs/>
                <w:szCs w:val="22"/>
              </w:rPr>
              <w:t xml:space="preserve"> on the suitability of this, along with the suitability of the existing road network. </w:t>
            </w:r>
            <w:r w:rsidR="004C0B62">
              <w:rPr>
                <w:rFonts w:ascii="Calibri" w:hAnsi="Calibri"/>
                <w:bCs/>
                <w:szCs w:val="22"/>
              </w:rPr>
              <w:t xml:space="preserve">A </w:t>
            </w:r>
            <w:r>
              <w:rPr>
                <w:rFonts w:ascii="Calibri" w:hAnsi="Calibri"/>
                <w:bCs/>
                <w:szCs w:val="22"/>
              </w:rPr>
              <w:t xml:space="preserve">Transport Assessment </w:t>
            </w:r>
            <w:r w:rsidR="004C0B62">
              <w:rPr>
                <w:rFonts w:ascii="Calibri" w:hAnsi="Calibri"/>
                <w:bCs/>
                <w:szCs w:val="22"/>
              </w:rPr>
              <w:t>has been submitted in support of the proposal</w:t>
            </w:r>
            <w:r>
              <w:rPr>
                <w:rFonts w:ascii="Calibri" w:hAnsi="Calibri"/>
                <w:bCs/>
                <w:szCs w:val="22"/>
              </w:rPr>
              <w:t xml:space="preserve">. </w:t>
            </w:r>
          </w:p>
          <w:p w14:paraId="5E5B7686" w14:textId="77777777" w:rsidR="004C0B62" w:rsidRDefault="004C0B62" w:rsidP="00D62664">
            <w:pPr>
              <w:pStyle w:val="Header"/>
              <w:tabs>
                <w:tab w:val="clear" w:pos="4153"/>
                <w:tab w:val="clear" w:pos="8306"/>
              </w:tabs>
              <w:contextualSpacing/>
              <w:jc w:val="both"/>
              <w:rPr>
                <w:rFonts w:ascii="Calibri" w:hAnsi="Calibri"/>
                <w:bCs/>
                <w:szCs w:val="22"/>
              </w:rPr>
            </w:pPr>
          </w:p>
          <w:p w14:paraId="5023436B" w14:textId="73938DC1" w:rsidR="00B91FA6" w:rsidRDefault="00D62664" w:rsidP="00B91FA6">
            <w:pPr>
              <w:pStyle w:val="Header"/>
              <w:tabs>
                <w:tab w:val="clear" w:pos="4153"/>
                <w:tab w:val="clear" w:pos="8306"/>
              </w:tabs>
              <w:contextualSpacing/>
              <w:jc w:val="both"/>
              <w:rPr>
                <w:rFonts w:ascii="Calibri" w:hAnsi="Calibri"/>
                <w:bCs/>
                <w:szCs w:val="22"/>
              </w:rPr>
            </w:pPr>
            <w:r w:rsidRPr="00E81250">
              <w:rPr>
                <w:rFonts w:ascii="Calibri" w:hAnsi="Calibri"/>
                <w:bCs/>
                <w:szCs w:val="22"/>
              </w:rPr>
              <w:t>In terms of parking requirement</w:t>
            </w:r>
            <w:r w:rsidR="00B91FA6" w:rsidRPr="00E81250">
              <w:rPr>
                <w:rFonts w:ascii="Calibri" w:hAnsi="Calibri"/>
                <w:bCs/>
                <w:szCs w:val="22"/>
              </w:rPr>
              <w:t>s</w:t>
            </w:r>
            <w:r w:rsidRPr="00E81250">
              <w:rPr>
                <w:rFonts w:ascii="Calibri" w:hAnsi="Calibri"/>
                <w:bCs/>
                <w:szCs w:val="22"/>
              </w:rPr>
              <w:t xml:space="preserve"> </w:t>
            </w:r>
            <w:r w:rsidR="00B91FA6" w:rsidRPr="00E81250">
              <w:rPr>
                <w:rFonts w:ascii="Calibri" w:hAnsi="Calibri"/>
                <w:bCs/>
                <w:szCs w:val="22"/>
              </w:rPr>
              <w:t xml:space="preserve">these are </w:t>
            </w:r>
            <w:r w:rsidRPr="00E81250">
              <w:rPr>
                <w:rFonts w:ascii="Calibri" w:hAnsi="Calibri"/>
                <w:bCs/>
                <w:szCs w:val="22"/>
              </w:rPr>
              <w:t xml:space="preserve">dependent on the breakdown of the </w:t>
            </w:r>
            <w:r w:rsidR="00B91FA6" w:rsidRPr="00E81250">
              <w:rPr>
                <w:rFonts w:ascii="Calibri" w:hAnsi="Calibri"/>
                <w:bCs/>
                <w:szCs w:val="22"/>
              </w:rPr>
              <w:t xml:space="preserve">floorspace of the two uses </w:t>
            </w:r>
            <w:r w:rsidRPr="00E81250">
              <w:rPr>
                <w:rFonts w:ascii="Calibri" w:hAnsi="Calibri"/>
                <w:bCs/>
                <w:szCs w:val="22"/>
              </w:rPr>
              <w:t xml:space="preserve">proposed.  </w:t>
            </w:r>
            <w:r w:rsidR="00B91FA6" w:rsidRPr="00E81250">
              <w:rPr>
                <w:rFonts w:ascii="Calibri" w:hAnsi="Calibri"/>
                <w:bCs/>
                <w:szCs w:val="22"/>
              </w:rPr>
              <w:t>The uses would be divided across the 992sq.m. proposed floor space with 497sqm for B2</w:t>
            </w:r>
            <w:r w:rsidR="00B91FA6">
              <w:rPr>
                <w:rFonts w:ascii="Calibri" w:hAnsi="Calibri"/>
                <w:bCs/>
                <w:szCs w:val="22"/>
              </w:rPr>
              <w:t xml:space="preserve"> General Industrial use and 497.5sq.m. for B8 Storage and Distribution use.  The site can accommodate adequate turning and manoeuvring space for a 12m rigid vehicle.</w:t>
            </w:r>
          </w:p>
          <w:p w14:paraId="0446889D" w14:textId="77777777" w:rsidR="00E81250" w:rsidRDefault="00E81250" w:rsidP="00B91FA6">
            <w:pPr>
              <w:pStyle w:val="Header"/>
              <w:tabs>
                <w:tab w:val="clear" w:pos="4153"/>
                <w:tab w:val="clear" w:pos="8306"/>
              </w:tabs>
              <w:contextualSpacing/>
              <w:jc w:val="both"/>
              <w:rPr>
                <w:rFonts w:ascii="Calibri" w:hAnsi="Calibri"/>
                <w:bCs/>
                <w:szCs w:val="22"/>
              </w:rPr>
            </w:pPr>
          </w:p>
          <w:p w14:paraId="1A47DA72" w14:textId="595A3FA7" w:rsidR="00E81250" w:rsidRPr="00E81250" w:rsidRDefault="00E81250" w:rsidP="00E81250">
            <w:pPr>
              <w:ind w:left="-5"/>
              <w:rPr>
                <w:rFonts w:ascii="Calibri" w:hAnsi="Calibri" w:cs="Calibri"/>
              </w:rPr>
            </w:pPr>
            <w:r w:rsidRPr="00E81250">
              <w:rPr>
                <w:rFonts w:ascii="Calibri" w:hAnsi="Calibri" w:cs="Calibri"/>
              </w:rPr>
              <w:t xml:space="preserve">As the end users are unknown, the parking standards as a guide for a medium accessibility site </w:t>
            </w:r>
            <w:r>
              <w:rPr>
                <w:rFonts w:ascii="Calibri" w:hAnsi="Calibri" w:cs="Calibri"/>
              </w:rPr>
              <w:t xml:space="preserve">would apply.  Therefore, </w:t>
            </w:r>
            <w:r w:rsidRPr="00E81250">
              <w:rPr>
                <w:rFonts w:ascii="Calibri" w:hAnsi="Calibri" w:cs="Calibri"/>
              </w:rPr>
              <w:t xml:space="preserve">for the B2 use this equates to 9 spaces (1 space per 53sqm) and for the B8, 2 spaces (1 space per 235sqm). The </w:t>
            </w:r>
            <w:r>
              <w:rPr>
                <w:rFonts w:ascii="Calibri" w:hAnsi="Calibri" w:cs="Calibri"/>
              </w:rPr>
              <w:t xml:space="preserve">scheme, as submitted, results in </w:t>
            </w:r>
            <w:r w:rsidRPr="00E81250">
              <w:rPr>
                <w:rFonts w:ascii="Calibri" w:hAnsi="Calibri" w:cs="Calibri"/>
              </w:rPr>
              <w:t>an over provision of car parking</w:t>
            </w:r>
            <w:r>
              <w:rPr>
                <w:rFonts w:ascii="Calibri" w:hAnsi="Calibri" w:cs="Calibri"/>
              </w:rPr>
              <w:t>,</w:t>
            </w:r>
            <w:r w:rsidRPr="00E81250">
              <w:rPr>
                <w:rFonts w:ascii="Calibri" w:hAnsi="Calibri" w:cs="Calibri"/>
              </w:rPr>
              <w:t xml:space="preserve"> however</w:t>
            </w:r>
            <w:r>
              <w:rPr>
                <w:rFonts w:ascii="Calibri" w:hAnsi="Calibri" w:cs="Calibri"/>
              </w:rPr>
              <w:t xml:space="preserve">, in this case this can be </w:t>
            </w:r>
            <w:r w:rsidRPr="00E81250">
              <w:rPr>
                <w:rFonts w:ascii="Calibri" w:hAnsi="Calibri" w:cs="Calibri"/>
              </w:rPr>
              <w:t>supported due to the constrained layout surrounding the site and will prevent any</w:t>
            </w:r>
            <w:r>
              <w:rPr>
                <w:rFonts w:ascii="Calibri" w:hAnsi="Calibri" w:cs="Calibri"/>
              </w:rPr>
              <w:t xml:space="preserve"> potential</w:t>
            </w:r>
            <w:r w:rsidRPr="00E81250">
              <w:rPr>
                <w:rFonts w:ascii="Calibri" w:hAnsi="Calibri" w:cs="Calibri"/>
              </w:rPr>
              <w:t xml:space="preserve"> overspill car parking onto the surrounding highway. </w:t>
            </w:r>
          </w:p>
          <w:p w14:paraId="3BDCA237" w14:textId="77777777" w:rsidR="00E81250" w:rsidRDefault="00E81250" w:rsidP="00B91FA6">
            <w:pPr>
              <w:pStyle w:val="Header"/>
              <w:tabs>
                <w:tab w:val="clear" w:pos="4153"/>
                <w:tab w:val="clear" w:pos="8306"/>
              </w:tabs>
              <w:contextualSpacing/>
              <w:jc w:val="both"/>
              <w:rPr>
                <w:rFonts w:ascii="Calibri" w:hAnsi="Calibri"/>
                <w:bCs/>
                <w:szCs w:val="22"/>
              </w:rPr>
            </w:pPr>
          </w:p>
          <w:p w14:paraId="1696E560" w14:textId="04427C24" w:rsidR="00D62664" w:rsidRPr="00B91FA6" w:rsidRDefault="00E81250" w:rsidP="00D62664">
            <w:pPr>
              <w:pStyle w:val="Header"/>
              <w:tabs>
                <w:tab w:val="clear" w:pos="4153"/>
                <w:tab w:val="clear" w:pos="8306"/>
              </w:tabs>
              <w:contextualSpacing/>
              <w:jc w:val="both"/>
              <w:rPr>
                <w:rFonts w:ascii="Calibri" w:hAnsi="Calibri"/>
                <w:bCs/>
                <w:szCs w:val="22"/>
              </w:rPr>
            </w:pPr>
            <w:r>
              <w:rPr>
                <w:rFonts w:ascii="Calibri" w:hAnsi="Calibri"/>
                <w:bCs/>
                <w:szCs w:val="22"/>
              </w:rPr>
              <w:t>Adequate ex</w:t>
            </w:r>
            <w:r w:rsidR="00D62664" w:rsidRPr="00B91FA6">
              <w:rPr>
                <w:rFonts w:ascii="Calibri" w:hAnsi="Calibri"/>
                <w:bCs/>
                <w:szCs w:val="22"/>
              </w:rPr>
              <w:t>ternal cycle</w:t>
            </w:r>
            <w:r>
              <w:rPr>
                <w:rFonts w:ascii="Calibri" w:hAnsi="Calibri"/>
                <w:bCs/>
                <w:szCs w:val="22"/>
              </w:rPr>
              <w:t xml:space="preserve"> and </w:t>
            </w:r>
            <w:r w:rsidR="00D62664" w:rsidRPr="00B91FA6">
              <w:rPr>
                <w:rFonts w:ascii="Calibri" w:hAnsi="Calibri"/>
                <w:bCs/>
                <w:szCs w:val="22"/>
              </w:rPr>
              <w:t xml:space="preserve">motorcycle </w:t>
            </w:r>
            <w:r>
              <w:rPr>
                <w:rFonts w:ascii="Calibri" w:hAnsi="Calibri"/>
                <w:bCs/>
                <w:szCs w:val="22"/>
              </w:rPr>
              <w:t xml:space="preserve">parking </w:t>
            </w:r>
            <w:r w:rsidR="00D62664" w:rsidRPr="00B91FA6">
              <w:rPr>
                <w:rFonts w:ascii="Calibri" w:hAnsi="Calibri"/>
                <w:bCs/>
                <w:szCs w:val="22"/>
              </w:rPr>
              <w:t>provision</w:t>
            </w:r>
            <w:r>
              <w:rPr>
                <w:rFonts w:ascii="Calibri" w:hAnsi="Calibri"/>
                <w:bCs/>
                <w:szCs w:val="22"/>
              </w:rPr>
              <w:t xml:space="preserve"> is also shown to be provided on the submitted plans</w:t>
            </w:r>
            <w:r w:rsidR="00D62664" w:rsidRPr="00B91FA6">
              <w:rPr>
                <w:rFonts w:ascii="Calibri" w:hAnsi="Calibri"/>
                <w:bCs/>
                <w:szCs w:val="22"/>
              </w:rPr>
              <w:t>.</w:t>
            </w:r>
          </w:p>
          <w:p w14:paraId="2C2BB9CF" w14:textId="77777777" w:rsidR="00B91FA6" w:rsidRDefault="00B91FA6" w:rsidP="00D62664">
            <w:pPr>
              <w:pStyle w:val="Header"/>
              <w:tabs>
                <w:tab w:val="clear" w:pos="4153"/>
                <w:tab w:val="clear" w:pos="8306"/>
              </w:tabs>
              <w:contextualSpacing/>
              <w:jc w:val="both"/>
              <w:rPr>
                <w:rFonts w:ascii="Calibri" w:hAnsi="Calibri"/>
                <w:bCs/>
                <w:szCs w:val="22"/>
                <w:highlight w:val="yellow"/>
              </w:rPr>
            </w:pPr>
          </w:p>
          <w:p w14:paraId="277ED7CE" w14:textId="07951616" w:rsidR="00D62664" w:rsidRDefault="00B91FA6" w:rsidP="00D62664">
            <w:pPr>
              <w:pStyle w:val="Header"/>
              <w:tabs>
                <w:tab w:val="clear" w:pos="4153"/>
                <w:tab w:val="clear" w:pos="8306"/>
              </w:tabs>
              <w:contextualSpacing/>
              <w:jc w:val="both"/>
              <w:rPr>
                <w:rFonts w:ascii="Calibri" w:hAnsi="Calibri"/>
                <w:szCs w:val="22"/>
              </w:rPr>
            </w:pPr>
            <w:r>
              <w:rPr>
                <w:rFonts w:ascii="Calibri" w:hAnsi="Calibri"/>
                <w:szCs w:val="22"/>
              </w:rPr>
              <w:t xml:space="preserve">LCC Highways have been consulted and have no objections to the scheme subject to </w:t>
            </w:r>
            <w:r w:rsidR="00E81250">
              <w:rPr>
                <w:rFonts w:ascii="Calibri" w:hAnsi="Calibri"/>
                <w:szCs w:val="22"/>
              </w:rPr>
              <w:t>appropriate conditions.</w:t>
            </w:r>
          </w:p>
          <w:p w14:paraId="615BB5AA" w14:textId="1598B5F8" w:rsidR="001F2FA1" w:rsidRPr="002A7DF7" w:rsidRDefault="001F2FA1" w:rsidP="00454754">
            <w:pPr>
              <w:pStyle w:val="Header"/>
              <w:tabs>
                <w:tab w:val="clear" w:pos="4153"/>
                <w:tab w:val="clear" w:pos="8306"/>
              </w:tabs>
              <w:contextualSpacing/>
              <w:jc w:val="both"/>
              <w:rPr>
                <w:rFonts w:ascii="Calibri" w:hAnsi="Calibri"/>
                <w:szCs w:val="22"/>
              </w:rPr>
            </w:pPr>
          </w:p>
        </w:tc>
      </w:tr>
      <w:tr w:rsidR="00D62664" w:rsidRPr="008C75E4" w14:paraId="397DF286" w14:textId="77777777" w:rsidTr="00665A44">
        <w:trPr>
          <w:trHeight w:val="864"/>
          <w:jc w:val="center"/>
        </w:trPr>
        <w:tc>
          <w:tcPr>
            <w:tcW w:w="9640" w:type="dxa"/>
            <w:gridSpan w:val="13"/>
            <w:tcMar>
              <w:top w:w="57" w:type="dxa"/>
              <w:bottom w:w="57" w:type="dxa"/>
            </w:tcMar>
          </w:tcPr>
          <w:p w14:paraId="582FD31C" w14:textId="208952D9" w:rsidR="00D62664" w:rsidRDefault="00D62664" w:rsidP="00D62664">
            <w:pPr>
              <w:pStyle w:val="Header"/>
              <w:tabs>
                <w:tab w:val="clear" w:pos="4153"/>
                <w:tab w:val="clear" w:pos="8306"/>
              </w:tabs>
              <w:contextualSpacing/>
              <w:jc w:val="both"/>
              <w:rPr>
                <w:rFonts w:ascii="Calibri" w:hAnsi="Calibri"/>
                <w:b/>
                <w:szCs w:val="22"/>
              </w:rPr>
            </w:pPr>
            <w:r>
              <w:rPr>
                <w:rFonts w:ascii="Calibri" w:hAnsi="Calibri"/>
                <w:b/>
                <w:szCs w:val="22"/>
              </w:rPr>
              <w:t>Ecology/Trees:</w:t>
            </w:r>
          </w:p>
          <w:p w14:paraId="3DC2B6E8" w14:textId="77777777" w:rsidR="00D62664" w:rsidRDefault="00D62664" w:rsidP="00D62664">
            <w:pPr>
              <w:pStyle w:val="Header"/>
              <w:tabs>
                <w:tab w:val="clear" w:pos="4153"/>
                <w:tab w:val="clear" w:pos="8306"/>
              </w:tabs>
              <w:contextualSpacing/>
              <w:jc w:val="both"/>
              <w:rPr>
                <w:rFonts w:ascii="Calibri" w:hAnsi="Calibri"/>
                <w:szCs w:val="22"/>
              </w:rPr>
            </w:pPr>
          </w:p>
          <w:p w14:paraId="50FF0AA3" w14:textId="15F7A7C1"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There is potential for protected species on the site in particular bats and a </w:t>
            </w:r>
            <w:r w:rsidR="00A64B19">
              <w:rPr>
                <w:rFonts w:ascii="Calibri" w:hAnsi="Calibri"/>
                <w:bCs/>
                <w:szCs w:val="22"/>
              </w:rPr>
              <w:t xml:space="preserve">bat activity survey </w:t>
            </w:r>
            <w:r>
              <w:rPr>
                <w:rFonts w:ascii="Calibri" w:hAnsi="Calibri"/>
                <w:bCs/>
                <w:szCs w:val="22"/>
              </w:rPr>
              <w:t xml:space="preserve">has been </w:t>
            </w:r>
            <w:r w:rsidR="00A64B19">
              <w:rPr>
                <w:rFonts w:ascii="Calibri" w:hAnsi="Calibri"/>
                <w:bCs/>
                <w:szCs w:val="22"/>
              </w:rPr>
              <w:t xml:space="preserve">undertaken and submitted </w:t>
            </w:r>
            <w:r>
              <w:rPr>
                <w:rFonts w:ascii="Calibri" w:hAnsi="Calibri"/>
                <w:bCs/>
                <w:szCs w:val="22"/>
              </w:rPr>
              <w:t xml:space="preserve">which </w:t>
            </w:r>
            <w:r w:rsidR="00A64B19">
              <w:rPr>
                <w:rFonts w:ascii="Calibri" w:hAnsi="Calibri"/>
                <w:bCs/>
                <w:szCs w:val="22"/>
              </w:rPr>
              <w:t>identifies the property of moderate suitability with bat</w:t>
            </w:r>
            <w:r>
              <w:rPr>
                <w:rFonts w:ascii="Calibri" w:hAnsi="Calibri"/>
                <w:bCs/>
                <w:szCs w:val="22"/>
              </w:rPr>
              <w:t xml:space="preserve"> activity at the site is low</w:t>
            </w:r>
            <w:r w:rsidR="00A64B19">
              <w:rPr>
                <w:rFonts w:ascii="Calibri" w:hAnsi="Calibri"/>
                <w:bCs/>
                <w:szCs w:val="22"/>
              </w:rPr>
              <w:t>.  Whilst bats were absent from the buildings</w:t>
            </w:r>
            <w:r>
              <w:rPr>
                <w:rFonts w:ascii="Calibri" w:hAnsi="Calibri"/>
                <w:bCs/>
                <w:szCs w:val="22"/>
              </w:rPr>
              <w:t xml:space="preserve"> </w:t>
            </w:r>
            <w:r w:rsidR="00A64B19">
              <w:rPr>
                <w:rFonts w:ascii="Calibri" w:hAnsi="Calibri"/>
                <w:bCs/>
                <w:szCs w:val="22"/>
              </w:rPr>
              <w:t>themselves,</w:t>
            </w:r>
            <w:r w:rsidR="004C0B62">
              <w:rPr>
                <w:rFonts w:ascii="Calibri" w:hAnsi="Calibri"/>
                <w:bCs/>
                <w:szCs w:val="22"/>
              </w:rPr>
              <w:t xml:space="preserve"> as there is </w:t>
            </w:r>
            <w:r>
              <w:rPr>
                <w:rFonts w:ascii="Calibri" w:hAnsi="Calibri"/>
                <w:bCs/>
                <w:szCs w:val="22"/>
              </w:rPr>
              <w:t xml:space="preserve">commuting and foraging in the area and </w:t>
            </w:r>
            <w:r w:rsidR="004C0B62">
              <w:rPr>
                <w:rFonts w:ascii="Calibri" w:hAnsi="Calibri"/>
                <w:bCs/>
                <w:szCs w:val="22"/>
              </w:rPr>
              <w:t xml:space="preserve">in particular </w:t>
            </w:r>
            <w:r>
              <w:rPr>
                <w:rFonts w:ascii="Calibri" w:hAnsi="Calibri"/>
                <w:bCs/>
                <w:szCs w:val="22"/>
              </w:rPr>
              <w:t xml:space="preserve">along the brook some enhancement </w:t>
            </w:r>
            <w:r w:rsidR="004C0B62">
              <w:rPr>
                <w:rFonts w:ascii="Calibri" w:hAnsi="Calibri"/>
                <w:bCs/>
                <w:szCs w:val="22"/>
              </w:rPr>
              <w:t xml:space="preserve">of the site should </w:t>
            </w:r>
            <w:r>
              <w:rPr>
                <w:rFonts w:ascii="Calibri" w:hAnsi="Calibri"/>
                <w:bCs/>
                <w:szCs w:val="22"/>
              </w:rPr>
              <w:t>be achieved.</w:t>
            </w:r>
          </w:p>
          <w:p w14:paraId="2CEC0978" w14:textId="77777777" w:rsidR="00FD760B" w:rsidRDefault="00FD760B" w:rsidP="00D62664">
            <w:pPr>
              <w:pStyle w:val="Header"/>
              <w:tabs>
                <w:tab w:val="clear" w:pos="4153"/>
                <w:tab w:val="clear" w:pos="8306"/>
              </w:tabs>
              <w:contextualSpacing/>
              <w:jc w:val="both"/>
              <w:rPr>
                <w:rFonts w:ascii="Calibri" w:hAnsi="Calibri"/>
                <w:bCs/>
                <w:szCs w:val="22"/>
              </w:rPr>
            </w:pPr>
          </w:p>
          <w:p w14:paraId="179FA070" w14:textId="77777777" w:rsidR="00FD760B" w:rsidRPr="00A64B19" w:rsidRDefault="00FD760B" w:rsidP="00FD760B">
            <w:pPr>
              <w:contextualSpacing/>
              <w:rPr>
                <w:rFonts w:ascii="Calibri" w:hAnsi="Calibri"/>
                <w:bCs/>
                <w:szCs w:val="22"/>
              </w:rPr>
            </w:pPr>
            <w:r w:rsidRPr="00A64B19">
              <w:rPr>
                <w:rFonts w:ascii="Calibri" w:hAnsi="Calibri"/>
                <w:bCs/>
                <w:szCs w:val="22"/>
              </w:rPr>
              <w:t xml:space="preserve">The findings of the ecology survey report finds that the proposals are very unlikely to cause any harm to bats. Bats can turn up in unexpected places, therefore the applicant should be aware that if bats are encountered at any time during works, work must cease and advice sought from a suitably qualified person about how best to proceed. All UK bats and their resting places carry a high level of legal protection. </w:t>
            </w:r>
          </w:p>
          <w:p w14:paraId="485FA090" w14:textId="77777777" w:rsidR="00FD760B" w:rsidRDefault="00FD760B" w:rsidP="00D62664">
            <w:pPr>
              <w:pStyle w:val="Header"/>
              <w:tabs>
                <w:tab w:val="clear" w:pos="4153"/>
                <w:tab w:val="clear" w:pos="8306"/>
              </w:tabs>
              <w:contextualSpacing/>
              <w:jc w:val="both"/>
              <w:rPr>
                <w:rFonts w:ascii="Calibri" w:hAnsi="Calibri"/>
                <w:bCs/>
                <w:szCs w:val="22"/>
              </w:rPr>
            </w:pPr>
          </w:p>
          <w:p w14:paraId="6C584378" w14:textId="23CB7C01" w:rsidR="00D62664" w:rsidRDefault="00D62664" w:rsidP="00D62664">
            <w:pPr>
              <w:pStyle w:val="Header"/>
              <w:tabs>
                <w:tab w:val="clear" w:pos="4153"/>
                <w:tab w:val="clear" w:pos="8306"/>
              </w:tabs>
              <w:contextualSpacing/>
              <w:jc w:val="both"/>
              <w:rPr>
                <w:rFonts w:ascii="Calibri" w:hAnsi="Calibri"/>
                <w:bCs/>
                <w:szCs w:val="22"/>
              </w:rPr>
            </w:pPr>
            <w:r>
              <w:rPr>
                <w:rFonts w:ascii="Calibri" w:hAnsi="Calibri"/>
                <w:bCs/>
                <w:szCs w:val="22"/>
              </w:rPr>
              <w:t xml:space="preserve">Appropriate mitigation measures </w:t>
            </w:r>
            <w:r w:rsidR="004C0B62">
              <w:rPr>
                <w:rFonts w:ascii="Calibri" w:hAnsi="Calibri"/>
                <w:bCs/>
                <w:szCs w:val="22"/>
              </w:rPr>
              <w:t xml:space="preserve">can be </w:t>
            </w:r>
            <w:r>
              <w:rPr>
                <w:rFonts w:ascii="Calibri" w:hAnsi="Calibri"/>
                <w:bCs/>
                <w:szCs w:val="22"/>
              </w:rPr>
              <w:t xml:space="preserve">provided within the site to address habitat and biodiversity. </w:t>
            </w:r>
          </w:p>
          <w:p w14:paraId="1F274A5B" w14:textId="77777777" w:rsidR="004C0B62" w:rsidRDefault="004C0B62" w:rsidP="00D62664">
            <w:pPr>
              <w:pStyle w:val="Header"/>
              <w:tabs>
                <w:tab w:val="clear" w:pos="4153"/>
                <w:tab w:val="clear" w:pos="8306"/>
              </w:tabs>
              <w:contextualSpacing/>
              <w:jc w:val="both"/>
              <w:rPr>
                <w:rFonts w:ascii="Calibri" w:hAnsi="Calibri"/>
                <w:bCs/>
                <w:szCs w:val="22"/>
              </w:rPr>
            </w:pPr>
          </w:p>
          <w:p w14:paraId="565FB221" w14:textId="2E49B845" w:rsidR="00635377" w:rsidRPr="00FD760B" w:rsidRDefault="00635377" w:rsidP="00635377">
            <w:pPr>
              <w:contextualSpacing/>
              <w:rPr>
                <w:rFonts w:ascii="Calibri" w:hAnsi="Calibri"/>
                <w:bCs/>
                <w:szCs w:val="22"/>
              </w:rPr>
            </w:pPr>
            <w:r w:rsidRPr="00FD760B">
              <w:rPr>
                <w:rFonts w:ascii="Calibri" w:hAnsi="Calibri"/>
                <w:bCs/>
                <w:szCs w:val="22"/>
              </w:rPr>
              <w:t xml:space="preserve">BNG - The application would involve the </w:t>
            </w:r>
            <w:r w:rsidR="00FD760B" w:rsidRPr="00FD760B">
              <w:rPr>
                <w:rFonts w:ascii="Calibri" w:hAnsi="Calibri"/>
                <w:bCs/>
                <w:szCs w:val="22"/>
              </w:rPr>
              <w:t>redevelopment of a commercial site with existing hardstanding and buildings</w:t>
            </w:r>
            <w:r w:rsidRPr="00FD760B">
              <w:rPr>
                <w:rFonts w:ascii="Calibri" w:hAnsi="Calibri"/>
                <w:bCs/>
                <w:szCs w:val="22"/>
              </w:rPr>
              <w:t>.</w:t>
            </w:r>
          </w:p>
          <w:p w14:paraId="304181D1" w14:textId="77777777" w:rsidR="00635377" w:rsidRPr="00635377" w:rsidRDefault="00635377" w:rsidP="00635377">
            <w:pPr>
              <w:contextualSpacing/>
              <w:rPr>
                <w:rFonts w:ascii="Calibri" w:hAnsi="Calibri"/>
                <w:bCs/>
                <w:szCs w:val="22"/>
                <w:highlight w:val="yellow"/>
              </w:rPr>
            </w:pPr>
          </w:p>
          <w:p w14:paraId="08F04930" w14:textId="6AF2B80F" w:rsidR="00635377" w:rsidRDefault="00635377" w:rsidP="00635377">
            <w:pPr>
              <w:contextualSpacing/>
              <w:rPr>
                <w:rFonts w:ascii="Calibri" w:hAnsi="Calibri"/>
                <w:bCs/>
                <w:szCs w:val="22"/>
              </w:rPr>
            </w:pPr>
            <w:r w:rsidRPr="00FD760B">
              <w:rPr>
                <w:rFonts w:ascii="Calibri" w:hAnsi="Calibri"/>
                <w:bCs/>
                <w:szCs w:val="22"/>
              </w:rPr>
              <w:t>The proposals will result in net gain in Biodiversity as measured by a recognised Biodiversity Metric (+</w:t>
            </w:r>
            <w:r w:rsidR="00131406" w:rsidRPr="00FD760B">
              <w:rPr>
                <w:rFonts w:ascii="Calibri" w:hAnsi="Calibri"/>
                <w:bCs/>
                <w:szCs w:val="22"/>
              </w:rPr>
              <w:t>185</w:t>
            </w:r>
            <w:r w:rsidRPr="00FD760B">
              <w:rPr>
                <w:rFonts w:ascii="Calibri" w:hAnsi="Calibri"/>
                <w:bCs/>
                <w:szCs w:val="22"/>
              </w:rPr>
              <w:t xml:space="preserve">%). </w:t>
            </w:r>
            <w:r w:rsidR="00FD760B" w:rsidRPr="00FD760B">
              <w:rPr>
                <w:rFonts w:ascii="Calibri" w:hAnsi="Calibri"/>
                <w:bCs/>
                <w:szCs w:val="22"/>
              </w:rPr>
              <w:t xml:space="preserve">The </w:t>
            </w:r>
            <w:r w:rsidRPr="00FD760B">
              <w:rPr>
                <w:rFonts w:ascii="Calibri" w:hAnsi="Calibri"/>
                <w:bCs/>
                <w:szCs w:val="22"/>
              </w:rPr>
              <w:t xml:space="preserve">application involves </w:t>
            </w:r>
            <w:r w:rsidR="00FD760B" w:rsidRPr="00FD760B">
              <w:rPr>
                <w:rFonts w:ascii="Calibri" w:hAnsi="Calibri"/>
                <w:bCs/>
                <w:szCs w:val="22"/>
              </w:rPr>
              <w:t>slight loss in mixed shrub but creates site habitats in the form o</w:t>
            </w:r>
            <w:r w:rsidR="00FD760B">
              <w:rPr>
                <w:rFonts w:ascii="Calibri" w:hAnsi="Calibri"/>
                <w:bCs/>
                <w:szCs w:val="22"/>
              </w:rPr>
              <w:t>f</w:t>
            </w:r>
            <w:r w:rsidR="00FD760B" w:rsidRPr="00FD760B">
              <w:rPr>
                <w:rFonts w:ascii="Calibri" w:hAnsi="Calibri"/>
                <w:bCs/>
                <w:szCs w:val="22"/>
              </w:rPr>
              <w:t xml:space="preserve"> </w:t>
            </w:r>
            <w:r w:rsidR="00FD760B">
              <w:rPr>
                <w:rFonts w:ascii="Calibri" w:hAnsi="Calibri"/>
                <w:bCs/>
                <w:szCs w:val="22"/>
              </w:rPr>
              <w:t xml:space="preserve">planting 7no. heavy standard </w:t>
            </w:r>
            <w:r w:rsidR="00FD760B" w:rsidRPr="00FD760B">
              <w:rPr>
                <w:rFonts w:ascii="Calibri" w:hAnsi="Calibri"/>
                <w:bCs/>
                <w:szCs w:val="22"/>
              </w:rPr>
              <w:t xml:space="preserve">trees and </w:t>
            </w:r>
            <w:r w:rsidR="00FD760B">
              <w:rPr>
                <w:rFonts w:ascii="Calibri" w:hAnsi="Calibri"/>
                <w:bCs/>
                <w:szCs w:val="22"/>
              </w:rPr>
              <w:t xml:space="preserve">100 sq.m. of </w:t>
            </w:r>
            <w:r w:rsidR="00FD760B" w:rsidRPr="00FD760B">
              <w:rPr>
                <w:rFonts w:ascii="Calibri" w:hAnsi="Calibri"/>
                <w:bCs/>
                <w:szCs w:val="22"/>
              </w:rPr>
              <w:t xml:space="preserve">mixed scrub </w:t>
            </w:r>
            <w:r w:rsidR="00FD760B">
              <w:rPr>
                <w:rFonts w:ascii="Calibri" w:hAnsi="Calibri"/>
                <w:bCs/>
                <w:szCs w:val="22"/>
              </w:rPr>
              <w:t xml:space="preserve">(hawthorn, hazel, field maple and holly) along the roadside.  Further </w:t>
            </w:r>
            <w:r w:rsidR="00FD760B" w:rsidRPr="00FD760B">
              <w:rPr>
                <w:rFonts w:ascii="Calibri" w:hAnsi="Calibri"/>
                <w:bCs/>
                <w:szCs w:val="22"/>
              </w:rPr>
              <w:t>enhancement</w:t>
            </w:r>
            <w:r w:rsidR="00FD760B">
              <w:rPr>
                <w:rFonts w:ascii="Calibri" w:hAnsi="Calibri"/>
                <w:bCs/>
                <w:szCs w:val="22"/>
              </w:rPr>
              <w:t>s</w:t>
            </w:r>
            <w:r w:rsidR="00FD760B" w:rsidRPr="00FD760B">
              <w:rPr>
                <w:rFonts w:ascii="Calibri" w:hAnsi="Calibri"/>
                <w:bCs/>
                <w:szCs w:val="22"/>
              </w:rPr>
              <w:t xml:space="preserve"> in </w:t>
            </w:r>
            <w:r w:rsidRPr="00FD760B">
              <w:rPr>
                <w:rFonts w:ascii="Calibri" w:hAnsi="Calibri"/>
                <w:bCs/>
                <w:szCs w:val="22"/>
              </w:rPr>
              <w:t xml:space="preserve">the </w:t>
            </w:r>
            <w:r w:rsidR="00FD760B">
              <w:rPr>
                <w:rFonts w:ascii="Calibri" w:hAnsi="Calibri"/>
                <w:bCs/>
                <w:szCs w:val="22"/>
              </w:rPr>
              <w:t xml:space="preserve">form of </w:t>
            </w:r>
            <w:r w:rsidRPr="00FD760B">
              <w:rPr>
                <w:rFonts w:ascii="Calibri" w:hAnsi="Calibri"/>
                <w:bCs/>
                <w:szCs w:val="22"/>
              </w:rPr>
              <w:t>bat roosting boxes</w:t>
            </w:r>
            <w:r w:rsidR="00A64B19">
              <w:rPr>
                <w:rFonts w:ascii="Calibri" w:hAnsi="Calibri"/>
                <w:bCs/>
                <w:szCs w:val="22"/>
              </w:rPr>
              <w:t xml:space="preserve"> to both buildings and bird boxes to the trees a</w:t>
            </w:r>
            <w:r w:rsidRPr="00FD760B">
              <w:rPr>
                <w:rFonts w:ascii="Calibri" w:hAnsi="Calibri"/>
                <w:bCs/>
                <w:szCs w:val="22"/>
              </w:rPr>
              <w:t>e welcome</w:t>
            </w:r>
            <w:r w:rsidR="00A64B19">
              <w:rPr>
                <w:rFonts w:ascii="Calibri" w:hAnsi="Calibri"/>
                <w:bCs/>
                <w:szCs w:val="22"/>
              </w:rPr>
              <w:t>d</w:t>
            </w:r>
            <w:r w:rsidR="00FD760B" w:rsidRPr="00FD760B">
              <w:rPr>
                <w:rFonts w:ascii="Calibri" w:hAnsi="Calibri"/>
                <w:bCs/>
                <w:szCs w:val="22"/>
              </w:rPr>
              <w:t>.  The r</w:t>
            </w:r>
            <w:r w:rsidRPr="00FD760B">
              <w:rPr>
                <w:rFonts w:ascii="Calibri" w:hAnsi="Calibri"/>
                <w:bCs/>
                <w:szCs w:val="22"/>
              </w:rPr>
              <w:t>equired 10% net gain in biodiversity</w:t>
            </w:r>
            <w:r w:rsidR="00FD760B" w:rsidRPr="00FD760B">
              <w:rPr>
                <w:rFonts w:ascii="Calibri" w:hAnsi="Calibri"/>
                <w:bCs/>
                <w:szCs w:val="22"/>
              </w:rPr>
              <w:t xml:space="preserve"> can be achieved on site in this respect</w:t>
            </w:r>
            <w:r w:rsidRPr="00FD760B">
              <w:rPr>
                <w:rFonts w:ascii="Calibri" w:hAnsi="Calibri"/>
                <w:bCs/>
                <w:szCs w:val="22"/>
              </w:rPr>
              <w:t xml:space="preserve"> </w:t>
            </w:r>
            <w:r w:rsidR="00FD760B" w:rsidRPr="00FD760B">
              <w:rPr>
                <w:rFonts w:ascii="Calibri" w:hAnsi="Calibri"/>
                <w:bCs/>
                <w:szCs w:val="22"/>
              </w:rPr>
              <w:t>s</w:t>
            </w:r>
            <w:r w:rsidRPr="00FD760B">
              <w:rPr>
                <w:rFonts w:ascii="Calibri" w:hAnsi="Calibri"/>
                <w:bCs/>
                <w:szCs w:val="22"/>
              </w:rPr>
              <w:t>ince the required habitat gains are relatively small, and the habitats which are subject to the gain requirement are relatively simple and widespread, the necessary 10% gain c</w:t>
            </w:r>
            <w:r w:rsidR="00FD760B" w:rsidRPr="00FD760B">
              <w:rPr>
                <w:rFonts w:ascii="Calibri" w:hAnsi="Calibri"/>
                <w:bCs/>
                <w:szCs w:val="22"/>
              </w:rPr>
              <w:t xml:space="preserve">an </w:t>
            </w:r>
            <w:r w:rsidRPr="00FD760B">
              <w:rPr>
                <w:rFonts w:ascii="Calibri" w:hAnsi="Calibri"/>
                <w:bCs/>
                <w:szCs w:val="22"/>
              </w:rPr>
              <w:t>be achieved. In this circumstance the standard BNG Condition could be applied to any permission which may be granted to the application, to require the submission of a detailed BNG Gain Plan prior to any work commencing on site.</w:t>
            </w:r>
          </w:p>
          <w:p w14:paraId="053467D2" w14:textId="77777777" w:rsidR="00635377" w:rsidRDefault="00635377" w:rsidP="00635377">
            <w:pPr>
              <w:contextualSpacing/>
              <w:rPr>
                <w:rFonts w:ascii="Calibri" w:hAnsi="Calibri"/>
                <w:bCs/>
                <w:szCs w:val="22"/>
              </w:rPr>
            </w:pPr>
          </w:p>
          <w:p w14:paraId="467F8B4D" w14:textId="77777777" w:rsidR="00635377" w:rsidRDefault="00635377" w:rsidP="00635377">
            <w:pPr>
              <w:contextualSpacing/>
              <w:rPr>
                <w:rFonts w:ascii="Calibri" w:hAnsi="Calibri"/>
                <w:bCs/>
                <w:szCs w:val="22"/>
              </w:rPr>
            </w:pPr>
            <w:r>
              <w:rPr>
                <w:rFonts w:ascii="Calibri" w:hAnsi="Calibri"/>
                <w:bCs/>
                <w:szCs w:val="22"/>
              </w:rPr>
              <w:t>This can be controlled by appropriate conditions.</w:t>
            </w:r>
          </w:p>
          <w:p w14:paraId="20D2290F" w14:textId="77777777" w:rsidR="00D62664" w:rsidRDefault="00D62664" w:rsidP="00D62664">
            <w:pPr>
              <w:pStyle w:val="Header"/>
              <w:tabs>
                <w:tab w:val="clear" w:pos="4153"/>
                <w:tab w:val="clear" w:pos="8306"/>
              </w:tabs>
              <w:contextualSpacing/>
              <w:jc w:val="both"/>
              <w:rPr>
                <w:rFonts w:ascii="Calibri" w:hAnsi="Calibri"/>
                <w:b/>
                <w:szCs w:val="22"/>
              </w:rPr>
            </w:pPr>
          </w:p>
        </w:tc>
      </w:tr>
      <w:tr w:rsidR="00CC2D6D" w:rsidRPr="008C75E4" w14:paraId="69363E9B" w14:textId="77777777" w:rsidTr="00665A44">
        <w:trPr>
          <w:trHeight w:val="864"/>
          <w:jc w:val="center"/>
        </w:trPr>
        <w:tc>
          <w:tcPr>
            <w:tcW w:w="9640" w:type="dxa"/>
            <w:gridSpan w:val="13"/>
            <w:tcMar>
              <w:top w:w="57" w:type="dxa"/>
              <w:bottom w:w="57" w:type="dxa"/>
            </w:tcMar>
          </w:tcPr>
          <w:p w14:paraId="5DD24BE7" w14:textId="0DB991C8" w:rsidR="00CC2D6D" w:rsidRPr="00131406" w:rsidRDefault="00CC2D6D" w:rsidP="006126D1">
            <w:pPr>
              <w:pStyle w:val="Header"/>
              <w:tabs>
                <w:tab w:val="clear" w:pos="4153"/>
                <w:tab w:val="clear" w:pos="8306"/>
              </w:tabs>
              <w:contextualSpacing/>
              <w:jc w:val="both"/>
              <w:rPr>
                <w:rFonts w:ascii="Calibri" w:hAnsi="Calibri"/>
                <w:b/>
                <w:iCs/>
                <w:szCs w:val="22"/>
              </w:rPr>
            </w:pPr>
            <w:r w:rsidRPr="00131406">
              <w:rPr>
                <w:rFonts w:ascii="Calibri" w:hAnsi="Calibri"/>
                <w:b/>
                <w:iCs/>
                <w:szCs w:val="22"/>
              </w:rPr>
              <w:lastRenderedPageBreak/>
              <w:t>Water Management</w:t>
            </w:r>
            <w:r w:rsidR="00FF17D6" w:rsidRPr="00131406">
              <w:rPr>
                <w:rFonts w:ascii="Calibri" w:hAnsi="Calibri"/>
                <w:b/>
                <w:iCs/>
                <w:szCs w:val="22"/>
              </w:rPr>
              <w:t>/Contamination</w:t>
            </w:r>
            <w:r w:rsidRPr="00131406">
              <w:rPr>
                <w:rFonts w:ascii="Calibri" w:hAnsi="Calibri"/>
                <w:b/>
                <w:iCs/>
                <w:szCs w:val="22"/>
              </w:rPr>
              <w:t>:</w:t>
            </w:r>
          </w:p>
          <w:p w14:paraId="10CE44A7" w14:textId="77777777" w:rsidR="004A2E05" w:rsidRPr="00131406" w:rsidRDefault="004A2E05" w:rsidP="006126D1">
            <w:pPr>
              <w:pStyle w:val="Header"/>
              <w:tabs>
                <w:tab w:val="clear" w:pos="4153"/>
                <w:tab w:val="clear" w:pos="8306"/>
              </w:tabs>
              <w:contextualSpacing/>
              <w:jc w:val="both"/>
              <w:rPr>
                <w:rFonts w:ascii="Calibri" w:hAnsi="Calibri"/>
                <w:iCs/>
                <w:szCs w:val="22"/>
              </w:rPr>
            </w:pPr>
          </w:p>
          <w:p w14:paraId="6124C754" w14:textId="03CA96DB" w:rsidR="00635377" w:rsidRDefault="00635377" w:rsidP="00635377">
            <w:pPr>
              <w:pStyle w:val="Header"/>
              <w:tabs>
                <w:tab w:val="clear" w:pos="4153"/>
                <w:tab w:val="clear" w:pos="8306"/>
              </w:tabs>
              <w:contextualSpacing/>
              <w:jc w:val="both"/>
              <w:rPr>
                <w:rFonts w:ascii="Calibri" w:hAnsi="Calibri"/>
                <w:iCs/>
                <w:szCs w:val="22"/>
              </w:rPr>
            </w:pPr>
            <w:r w:rsidRPr="00131406">
              <w:rPr>
                <w:rFonts w:ascii="Calibri" w:hAnsi="Calibri"/>
                <w:iCs/>
                <w:szCs w:val="22"/>
              </w:rPr>
              <w:t>The site is located within Flood Zone 1: Low risk of flooding. A drainage strategy should be submitted with which demonstrates that surface water will drain in line with the sustainable drainage hierarchy identified in National Planning Guidance.  Foul and surface water should be drained on separate systems.</w:t>
            </w:r>
          </w:p>
          <w:p w14:paraId="5422F193" w14:textId="77777777" w:rsidR="00131406" w:rsidRDefault="00131406" w:rsidP="00635377">
            <w:pPr>
              <w:pStyle w:val="Header"/>
              <w:tabs>
                <w:tab w:val="clear" w:pos="4153"/>
                <w:tab w:val="clear" w:pos="8306"/>
              </w:tabs>
              <w:contextualSpacing/>
              <w:jc w:val="both"/>
              <w:rPr>
                <w:rFonts w:ascii="Calibri" w:hAnsi="Calibri"/>
                <w:iCs/>
                <w:szCs w:val="22"/>
              </w:rPr>
            </w:pPr>
          </w:p>
          <w:p w14:paraId="639BC089" w14:textId="48D7424D" w:rsidR="004A2E05" w:rsidRPr="00131406" w:rsidRDefault="00635377" w:rsidP="00131406">
            <w:pPr>
              <w:pStyle w:val="Header"/>
              <w:tabs>
                <w:tab w:val="clear" w:pos="4153"/>
                <w:tab w:val="clear" w:pos="8306"/>
              </w:tabs>
              <w:contextualSpacing/>
              <w:jc w:val="both"/>
              <w:rPr>
                <w:rFonts w:ascii="Calibri" w:hAnsi="Calibri"/>
                <w:iCs/>
                <w:szCs w:val="22"/>
              </w:rPr>
            </w:pPr>
            <w:r w:rsidRPr="00131406">
              <w:rPr>
                <w:rFonts w:ascii="Calibri" w:hAnsi="Calibri"/>
                <w:iCs/>
                <w:szCs w:val="22"/>
              </w:rPr>
              <w:t xml:space="preserve">This is acceptable </w:t>
            </w:r>
            <w:r w:rsidR="00131406">
              <w:rPr>
                <w:rFonts w:ascii="Calibri" w:hAnsi="Calibri"/>
                <w:iCs/>
                <w:szCs w:val="22"/>
              </w:rPr>
              <w:t xml:space="preserve">subject to the submission of an </w:t>
            </w:r>
            <w:r w:rsidRPr="00131406">
              <w:rPr>
                <w:rFonts w:ascii="Calibri" w:hAnsi="Calibri"/>
                <w:iCs/>
                <w:szCs w:val="22"/>
              </w:rPr>
              <w:t>appropriate drainage scheme be</w:t>
            </w:r>
            <w:r w:rsidR="00131406">
              <w:rPr>
                <w:rFonts w:ascii="Calibri" w:hAnsi="Calibri"/>
                <w:iCs/>
                <w:szCs w:val="22"/>
              </w:rPr>
              <w:t>ing</w:t>
            </w:r>
            <w:r w:rsidRPr="00131406">
              <w:rPr>
                <w:rFonts w:ascii="Calibri" w:hAnsi="Calibri"/>
                <w:iCs/>
                <w:szCs w:val="22"/>
              </w:rPr>
              <w:t xml:space="preserve"> conditioned.</w:t>
            </w:r>
          </w:p>
        </w:tc>
      </w:tr>
      <w:tr w:rsidR="008C75E4" w:rsidRPr="008C75E4" w14:paraId="2E6F021E" w14:textId="77777777" w:rsidTr="00665A44">
        <w:trPr>
          <w:trHeight w:val="864"/>
          <w:jc w:val="center"/>
        </w:trPr>
        <w:tc>
          <w:tcPr>
            <w:tcW w:w="9640" w:type="dxa"/>
            <w:gridSpan w:val="13"/>
            <w:tcMar>
              <w:top w:w="57" w:type="dxa"/>
              <w:bottom w:w="57" w:type="dxa"/>
            </w:tcMar>
          </w:tcPr>
          <w:p w14:paraId="610C9D4B"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660C9815" w14:textId="77777777" w:rsidR="004A2E05" w:rsidRDefault="004A2E05" w:rsidP="00454754">
            <w:pPr>
              <w:pStyle w:val="Header"/>
              <w:tabs>
                <w:tab w:val="clear" w:pos="4153"/>
                <w:tab w:val="clear" w:pos="8306"/>
              </w:tabs>
              <w:contextualSpacing/>
              <w:jc w:val="both"/>
              <w:rPr>
                <w:rFonts w:ascii="Calibri" w:hAnsi="Calibri"/>
                <w:szCs w:val="22"/>
              </w:rPr>
            </w:pPr>
          </w:p>
          <w:p w14:paraId="6F48834B" w14:textId="77777777" w:rsidR="00D62664" w:rsidRPr="0096149A" w:rsidRDefault="00D62664" w:rsidP="00D62664">
            <w:pPr>
              <w:overflowPunct/>
              <w:autoSpaceDE/>
              <w:autoSpaceDN/>
              <w:adjustRightInd/>
              <w:jc w:val="both"/>
              <w:textAlignment w:val="auto"/>
              <w:rPr>
                <w:rFonts w:ascii="Calibri" w:hAnsi="Calibri" w:cs="Arial"/>
                <w:szCs w:val="22"/>
              </w:rPr>
            </w:pPr>
            <w:r w:rsidRPr="0096149A">
              <w:rPr>
                <w:rFonts w:ascii="Calibri" w:hAnsi="Calibri" w:cs="Arial"/>
                <w:szCs w:val="22"/>
              </w:rPr>
              <w:t>Taking account of the above matters, the principle of development is compliant with the current development plan, in particular policies DMG2, DMB1 and Key Statements DS1</w:t>
            </w:r>
            <w:r>
              <w:rPr>
                <w:rFonts w:ascii="Calibri" w:hAnsi="Calibri" w:cs="Arial"/>
                <w:szCs w:val="22"/>
              </w:rPr>
              <w:t xml:space="preserve"> and</w:t>
            </w:r>
            <w:r w:rsidRPr="0096149A">
              <w:rPr>
                <w:rFonts w:ascii="Calibri" w:hAnsi="Calibri" w:cs="Arial"/>
                <w:szCs w:val="22"/>
              </w:rPr>
              <w:t xml:space="preserve"> EC</w:t>
            </w:r>
            <w:r>
              <w:rPr>
                <w:rFonts w:ascii="Calibri" w:hAnsi="Calibri" w:cs="Arial"/>
                <w:szCs w:val="22"/>
              </w:rPr>
              <w:t>1</w:t>
            </w:r>
            <w:r w:rsidRPr="0096149A">
              <w:rPr>
                <w:rFonts w:ascii="Calibri" w:hAnsi="Calibri" w:cs="Arial"/>
                <w:szCs w:val="22"/>
              </w:rPr>
              <w:t xml:space="preserve"> of the Ribble Valley Core Strategy.  </w:t>
            </w:r>
          </w:p>
          <w:p w14:paraId="4BE1BD5F" w14:textId="77777777" w:rsidR="00D62664" w:rsidRDefault="00D62664" w:rsidP="00D62664">
            <w:pPr>
              <w:overflowPunct/>
              <w:autoSpaceDE/>
              <w:autoSpaceDN/>
              <w:adjustRightInd/>
              <w:jc w:val="both"/>
              <w:textAlignment w:val="auto"/>
              <w:rPr>
                <w:rFonts w:ascii="Calibri" w:hAnsi="Calibri" w:cs="Arial"/>
                <w:szCs w:val="22"/>
              </w:rPr>
            </w:pPr>
          </w:p>
          <w:p w14:paraId="2E2AB95C" w14:textId="57D56754" w:rsidR="00D62664" w:rsidRDefault="00635377" w:rsidP="00D62664">
            <w:pPr>
              <w:overflowPunct/>
              <w:autoSpaceDE/>
              <w:autoSpaceDN/>
              <w:adjustRightInd/>
              <w:jc w:val="both"/>
              <w:textAlignment w:val="auto"/>
              <w:rPr>
                <w:rFonts w:ascii="Calibri" w:hAnsi="Calibri" w:cs="Arial"/>
                <w:szCs w:val="22"/>
              </w:rPr>
            </w:pPr>
            <w:r>
              <w:rPr>
                <w:rFonts w:ascii="Calibri" w:hAnsi="Calibri" w:cs="Arial"/>
                <w:szCs w:val="22"/>
              </w:rPr>
              <w:t>Details such as d</w:t>
            </w:r>
            <w:r w:rsidR="00D62664">
              <w:rPr>
                <w:rFonts w:ascii="Calibri" w:hAnsi="Calibri" w:cs="Arial"/>
                <w:szCs w:val="22"/>
              </w:rPr>
              <w:t xml:space="preserve">esign, residential amenity, ecology, highways, </w:t>
            </w:r>
            <w:r>
              <w:rPr>
                <w:rFonts w:ascii="Calibri" w:hAnsi="Calibri" w:cs="Arial"/>
                <w:szCs w:val="22"/>
              </w:rPr>
              <w:t xml:space="preserve">noise </w:t>
            </w:r>
            <w:r w:rsidR="00D62664">
              <w:rPr>
                <w:rFonts w:ascii="Calibri" w:hAnsi="Calibri" w:cs="Arial"/>
                <w:szCs w:val="22"/>
              </w:rPr>
              <w:t xml:space="preserve">and drainage </w:t>
            </w:r>
            <w:r>
              <w:rPr>
                <w:rFonts w:ascii="Calibri" w:hAnsi="Calibri" w:cs="Arial"/>
                <w:szCs w:val="22"/>
              </w:rPr>
              <w:t>have been fully considered and found to be acceptable subject to appropriate mitigation</w:t>
            </w:r>
            <w:r w:rsidR="00D62664" w:rsidRPr="0096149A">
              <w:rPr>
                <w:rFonts w:ascii="Calibri" w:hAnsi="Calibri" w:cs="Arial"/>
                <w:szCs w:val="22"/>
              </w:rPr>
              <w:t>.</w:t>
            </w:r>
          </w:p>
          <w:p w14:paraId="77064311" w14:textId="77777777" w:rsidR="00635377" w:rsidRDefault="00635377" w:rsidP="00D62664">
            <w:pPr>
              <w:overflowPunct/>
              <w:autoSpaceDE/>
              <w:autoSpaceDN/>
              <w:adjustRightInd/>
              <w:jc w:val="both"/>
              <w:textAlignment w:val="auto"/>
              <w:rPr>
                <w:rFonts w:ascii="Calibri" w:hAnsi="Calibri" w:cs="Arial"/>
                <w:szCs w:val="22"/>
              </w:rPr>
            </w:pPr>
          </w:p>
          <w:p w14:paraId="670279B4" w14:textId="77777777" w:rsidR="00635377" w:rsidRPr="009F4443" w:rsidRDefault="00635377" w:rsidP="00635377">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Pr>
                <w:rFonts w:ascii="Calibri" w:hAnsi="Calibri"/>
                <w:bCs/>
                <w:szCs w:val="22"/>
              </w:rPr>
              <w:t>approval.</w:t>
            </w:r>
          </w:p>
          <w:p w14:paraId="3BFB300C" w14:textId="77777777" w:rsidR="004A2E05" w:rsidRPr="00BA2247" w:rsidRDefault="004A2E05" w:rsidP="00635377">
            <w:pPr>
              <w:pStyle w:val="Header"/>
              <w:tabs>
                <w:tab w:val="clear" w:pos="4153"/>
                <w:tab w:val="clear" w:pos="8306"/>
              </w:tabs>
              <w:contextualSpacing/>
              <w:jc w:val="both"/>
              <w:rPr>
                <w:rFonts w:ascii="Calibri" w:hAnsi="Calibri"/>
                <w:szCs w:val="22"/>
              </w:rPr>
            </w:pPr>
          </w:p>
        </w:tc>
      </w:tr>
      <w:tr w:rsidR="00C0704D" w:rsidRPr="008C75E4" w14:paraId="43D58C54" w14:textId="77777777" w:rsidTr="00665A44">
        <w:trPr>
          <w:jc w:val="center"/>
        </w:trPr>
        <w:tc>
          <w:tcPr>
            <w:tcW w:w="2877" w:type="dxa"/>
            <w:gridSpan w:val="4"/>
            <w:tcMar>
              <w:top w:w="57" w:type="dxa"/>
              <w:bottom w:w="57" w:type="dxa"/>
            </w:tcMar>
          </w:tcPr>
          <w:p w14:paraId="73B116DB"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63" w:type="dxa"/>
            <w:gridSpan w:val="9"/>
          </w:tcPr>
          <w:p w14:paraId="6BC6C737" w14:textId="5BC89B97" w:rsidR="00C0704D" w:rsidRPr="008C75E4" w:rsidRDefault="00CC2D6D" w:rsidP="006126D1">
            <w:pPr>
              <w:jc w:val="both"/>
              <w:rPr>
                <w:rFonts w:ascii="Calibri" w:hAnsi="Calibri"/>
                <w:bCs/>
                <w:szCs w:val="22"/>
              </w:rPr>
            </w:pPr>
            <w:r>
              <w:rPr>
                <w:rFonts w:ascii="Calibri" w:hAnsi="Calibri"/>
                <w:bCs/>
                <w:szCs w:val="22"/>
              </w:rPr>
              <w:t xml:space="preserve">To </w:t>
            </w:r>
            <w:r w:rsidR="00FF17D6">
              <w:rPr>
                <w:rFonts w:ascii="Calibri" w:hAnsi="Calibri"/>
                <w:bCs/>
                <w:szCs w:val="22"/>
              </w:rPr>
              <w:t xml:space="preserve">grant </w:t>
            </w:r>
            <w:r>
              <w:rPr>
                <w:rFonts w:ascii="Calibri" w:hAnsi="Calibri"/>
                <w:bCs/>
                <w:szCs w:val="22"/>
              </w:rPr>
              <w:t>planning permission</w:t>
            </w:r>
            <w:r w:rsidR="00FF17D6">
              <w:rPr>
                <w:rFonts w:ascii="Calibri" w:hAnsi="Calibri"/>
                <w:bCs/>
                <w:szCs w:val="22"/>
              </w:rPr>
              <w:t xml:space="preserve"> subject to appropriate conditions.</w:t>
            </w:r>
          </w:p>
        </w:tc>
      </w:tr>
    </w:tbl>
    <w:p w14:paraId="72755C63" w14:textId="77777777" w:rsidR="00C33F7E" w:rsidRPr="008C75E4" w:rsidRDefault="00C33F7E" w:rsidP="006126D1">
      <w:pPr>
        <w:jc w:val="both"/>
        <w:rPr>
          <w:rFonts w:ascii="Calibri" w:hAnsi="Calibri"/>
          <w:szCs w:val="22"/>
        </w:rPr>
      </w:pPr>
    </w:p>
    <w:sectPr w:rsidR="00C33F7E"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A137D" w14:textId="77777777" w:rsidR="00D80310" w:rsidRDefault="00D80310" w:rsidP="006D0B5F">
      <w:r>
        <w:separator/>
      </w:r>
    </w:p>
  </w:endnote>
  <w:endnote w:type="continuationSeparator" w:id="0">
    <w:p w14:paraId="6DE6FCE3" w14:textId="77777777" w:rsidR="00D80310" w:rsidRDefault="00D80310"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ADCC5" w14:textId="77777777" w:rsidR="00D80310" w:rsidRDefault="00D80310" w:rsidP="006D0B5F">
      <w:r>
        <w:separator/>
      </w:r>
    </w:p>
  </w:footnote>
  <w:footnote w:type="continuationSeparator" w:id="0">
    <w:p w14:paraId="7E5C673A" w14:textId="77777777" w:rsidR="00D80310" w:rsidRDefault="00D80310"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E60F09"/>
    <w:multiLevelType w:val="hybridMultilevel"/>
    <w:tmpl w:val="ECC624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467FA1"/>
    <w:multiLevelType w:val="hybridMultilevel"/>
    <w:tmpl w:val="2A4E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7C4CBF"/>
    <w:multiLevelType w:val="hybridMultilevel"/>
    <w:tmpl w:val="12861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1D7739A"/>
    <w:multiLevelType w:val="hybridMultilevel"/>
    <w:tmpl w:val="3A402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40888"/>
    <w:multiLevelType w:val="hybridMultilevel"/>
    <w:tmpl w:val="F26C9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D73E5"/>
    <w:multiLevelType w:val="hybridMultilevel"/>
    <w:tmpl w:val="BEC4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E0162A"/>
    <w:multiLevelType w:val="hybridMultilevel"/>
    <w:tmpl w:val="EDA45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223EB8"/>
    <w:multiLevelType w:val="hybridMultilevel"/>
    <w:tmpl w:val="98266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4642726">
    <w:abstractNumId w:val="17"/>
  </w:num>
  <w:num w:numId="2" w16cid:durableId="1765153513">
    <w:abstractNumId w:val="13"/>
  </w:num>
  <w:num w:numId="3" w16cid:durableId="1578512299">
    <w:abstractNumId w:val="8"/>
  </w:num>
  <w:num w:numId="4" w16cid:durableId="1124469357">
    <w:abstractNumId w:val="9"/>
  </w:num>
  <w:num w:numId="5" w16cid:durableId="831026310">
    <w:abstractNumId w:val="0"/>
  </w:num>
  <w:num w:numId="6" w16cid:durableId="393702018">
    <w:abstractNumId w:val="3"/>
  </w:num>
  <w:num w:numId="7" w16cid:durableId="464126463">
    <w:abstractNumId w:val="10"/>
  </w:num>
  <w:num w:numId="8" w16cid:durableId="1127700207">
    <w:abstractNumId w:val="15"/>
  </w:num>
  <w:num w:numId="9" w16cid:durableId="1874607165">
    <w:abstractNumId w:val="6"/>
  </w:num>
  <w:num w:numId="10" w16cid:durableId="254439274">
    <w:abstractNumId w:val="12"/>
  </w:num>
  <w:num w:numId="11" w16cid:durableId="91125650">
    <w:abstractNumId w:val="14"/>
  </w:num>
  <w:num w:numId="12" w16cid:durableId="1254902735">
    <w:abstractNumId w:val="1"/>
  </w:num>
  <w:num w:numId="13" w16cid:durableId="1997762277">
    <w:abstractNumId w:val="4"/>
  </w:num>
  <w:num w:numId="14" w16cid:durableId="2061976387">
    <w:abstractNumId w:val="7"/>
  </w:num>
  <w:num w:numId="15" w16cid:durableId="182130941">
    <w:abstractNumId w:val="16"/>
  </w:num>
  <w:num w:numId="16" w16cid:durableId="1560821812">
    <w:abstractNumId w:val="2"/>
  </w:num>
  <w:num w:numId="17" w16cid:durableId="1305743502">
    <w:abstractNumId w:val="11"/>
  </w:num>
  <w:num w:numId="18" w16cid:durableId="1171873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942"/>
    <w:rsid w:val="00016A73"/>
    <w:rsid w:val="000334DD"/>
    <w:rsid w:val="00041FBF"/>
    <w:rsid w:val="00055B13"/>
    <w:rsid w:val="0008638E"/>
    <w:rsid w:val="000B5CB5"/>
    <w:rsid w:val="000C7A57"/>
    <w:rsid w:val="000D6BE8"/>
    <w:rsid w:val="00101855"/>
    <w:rsid w:val="0010371E"/>
    <w:rsid w:val="00106932"/>
    <w:rsid w:val="00130035"/>
    <w:rsid w:val="00131406"/>
    <w:rsid w:val="00141512"/>
    <w:rsid w:val="0016428F"/>
    <w:rsid w:val="00174004"/>
    <w:rsid w:val="00183DE7"/>
    <w:rsid w:val="00190F44"/>
    <w:rsid w:val="001946E0"/>
    <w:rsid w:val="00196722"/>
    <w:rsid w:val="001B769B"/>
    <w:rsid w:val="001C1453"/>
    <w:rsid w:val="001C5CF0"/>
    <w:rsid w:val="001D4F7A"/>
    <w:rsid w:val="001D5ADD"/>
    <w:rsid w:val="001F2FA1"/>
    <w:rsid w:val="00203F50"/>
    <w:rsid w:val="00206E24"/>
    <w:rsid w:val="00237DA1"/>
    <w:rsid w:val="00250879"/>
    <w:rsid w:val="002842FC"/>
    <w:rsid w:val="00284480"/>
    <w:rsid w:val="0028751A"/>
    <w:rsid w:val="0029334A"/>
    <w:rsid w:val="002A01CF"/>
    <w:rsid w:val="002A7DF7"/>
    <w:rsid w:val="002B4C9F"/>
    <w:rsid w:val="002B7854"/>
    <w:rsid w:val="002C0C20"/>
    <w:rsid w:val="002C6277"/>
    <w:rsid w:val="002D4346"/>
    <w:rsid w:val="002E2952"/>
    <w:rsid w:val="002E7CC1"/>
    <w:rsid w:val="002F041D"/>
    <w:rsid w:val="002F2580"/>
    <w:rsid w:val="002F7502"/>
    <w:rsid w:val="003137E0"/>
    <w:rsid w:val="00320A6F"/>
    <w:rsid w:val="00321B6E"/>
    <w:rsid w:val="003359D0"/>
    <w:rsid w:val="00341E8D"/>
    <w:rsid w:val="00343822"/>
    <w:rsid w:val="00347F5E"/>
    <w:rsid w:val="003562A3"/>
    <w:rsid w:val="003634D9"/>
    <w:rsid w:val="0036759A"/>
    <w:rsid w:val="003825D5"/>
    <w:rsid w:val="003A4376"/>
    <w:rsid w:val="003C28E1"/>
    <w:rsid w:val="003D30DC"/>
    <w:rsid w:val="003E0048"/>
    <w:rsid w:val="003E2151"/>
    <w:rsid w:val="003F16AA"/>
    <w:rsid w:val="003F16B4"/>
    <w:rsid w:val="003F3DB5"/>
    <w:rsid w:val="003F481A"/>
    <w:rsid w:val="00404C72"/>
    <w:rsid w:val="00407F9D"/>
    <w:rsid w:val="00435FC9"/>
    <w:rsid w:val="0044039F"/>
    <w:rsid w:val="00440CB6"/>
    <w:rsid w:val="00454754"/>
    <w:rsid w:val="004654DD"/>
    <w:rsid w:val="004854EC"/>
    <w:rsid w:val="004936A6"/>
    <w:rsid w:val="004947BB"/>
    <w:rsid w:val="004A2E05"/>
    <w:rsid w:val="004A5EA9"/>
    <w:rsid w:val="004B1D18"/>
    <w:rsid w:val="004C0B62"/>
    <w:rsid w:val="004C142E"/>
    <w:rsid w:val="004C19ED"/>
    <w:rsid w:val="004C2434"/>
    <w:rsid w:val="004D4BEB"/>
    <w:rsid w:val="004D6FC7"/>
    <w:rsid w:val="004E58E3"/>
    <w:rsid w:val="004F0649"/>
    <w:rsid w:val="004F1043"/>
    <w:rsid w:val="004F186B"/>
    <w:rsid w:val="004F1E99"/>
    <w:rsid w:val="004F2E7B"/>
    <w:rsid w:val="0050432D"/>
    <w:rsid w:val="00504440"/>
    <w:rsid w:val="00510DBF"/>
    <w:rsid w:val="00510FA2"/>
    <w:rsid w:val="00510FE3"/>
    <w:rsid w:val="0052072F"/>
    <w:rsid w:val="00521ABA"/>
    <w:rsid w:val="00525341"/>
    <w:rsid w:val="00527A31"/>
    <w:rsid w:val="00534611"/>
    <w:rsid w:val="00541C66"/>
    <w:rsid w:val="00545D8C"/>
    <w:rsid w:val="00556ECD"/>
    <w:rsid w:val="00560A22"/>
    <w:rsid w:val="005631B3"/>
    <w:rsid w:val="005633B0"/>
    <w:rsid w:val="005635FF"/>
    <w:rsid w:val="00567056"/>
    <w:rsid w:val="00573B90"/>
    <w:rsid w:val="005878FE"/>
    <w:rsid w:val="00593040"/>
    <w:rsid w:val="00595DB0"/>
    <w:rsid w:val="005B0A0E"/>
    <w:rsid w:val="005D13C7"/>
    <w:rsid w:val="005D1567"/>
    <w:rsid w:val="005D3432"/>
    <w:rsid w:val="005E1C6C"/>
    <w:rsid w:val="005E65DF"/>
    <w:rsid w:val="005F7A80"/>
    <w:rsid w:val="006126D1"/>
    <w:rsid w:val="006326A2"/>
    <w:rsid w:val="00635377"/>
    <w:rsid w:val="00665A44"/>
    <w:rsid w:val="00665C24"/>
    <w:rsid w:val="00690EC3"/>
    <w:rsid w:val="00692B60"/>
    <w:rsid w:val="00695F88"/>
    <w:rsid w:val="006A7130"/>
    <w:rsid w:val="006A71AD"/>
    <w:rsid w:val="006C126E"/>
    <w:rsid w:val="006C2BFA"/>
    <w:rsid w:val="006D0B5F"/>
    <w:rsid w:val="006D4E58"/>
    <w:rsid w:val="006D7624"/>
    <w:rsid w:val="006E6633"/>
    <w:rsid w:val="006F137D"/>
    <w:rsid w:val="006F4D38"/>
    <w:rsid w:val="0070054B"/>
    <w:rsid w:val="00706480"/>
    <w:rsid w:val="00710DBB"/>
    <w:rsid w:val="00725F1C"/>
    <w:rsid w:val="007430C8"/>
    <w:rsid w:val="00752742"/>
    <w:rsid w:val="00755FCC"/>
    <w:rsid w:val="00760861"/>
    <w:rsid w:val="00773DD2"/>
    <w:rsid w:val="00776AE2"/>
    <w:rsid w:val="007921CD"/>
    <w:rsid w:val="007A6D5A"/>
    <w:rsid w:val="007B0347"/>
    <w:rsid w:val="007C5713"/>
    <w:rsid w:val="007C791C"/>
    <w:rsid w:val="007D6D02"/>
    <w:rsid w:val="007D7DF4"/>
    <w:rsid w:val="007E0D23"/>
    <w:rsid w:val="007F196D"/>
    <w:rsid w:val="00805895"/>
    <w:rsid w:val="008075CB"/>
    <w:rsid w:val="00811771"/>
    <w:rsid w:val="008154DD"/>
    <w:rsid w:val="00825587"/>
    <w:rsid w:val="008542DE"/>
    <w:rsid w:val="008638DE"/>
    <w:rsid w:val="0089023C"/>
    <w:rsid w:val="00891182"/>
    <w:rsid w:val="008A28C8"/>
    <w:rsid w:val="008A5255"/>
    <w:rsid w:val="008C75E4"/>
    <w:rsid w:val="008F06A9"/>
    <w:rsid w:val="008F1F67"/>
    <w:rsid w:val="008F6B58"/>
    <w:rsid w:val="00900FA1"/>
    <w:rsid w:val="0090282C"/>
    <w:rsid w:val="00906D0C"/>
    <w:rsid w:val="00910E42"/>
    <w:rsid w:val="00934B34"/>
    <w:rsid w:val="009520C4"/>
    <w:rsid w:val="009565F5"/>
    <w:rsid w:val="009825FF"/>
    <w:rsid w:val="00985097"/>
    <w:rsid w:val="00985E6C"/>
    <w:rsid w:val="00994EF1"/>
    <w:rsid w:val="009C4BCF"/>
    <w:rsid w:val="009C7F61"/>
    <w:rsid w:val="009E466E"/>
    <w:rsid w:val="009E6A8B"/>
    <w:rsid w:val="00A03C6F"/>
    <w:rsid w:val="00A04A96"/>
    <w:rsid w:val="00A40070"/>
    <w:rsid w:val="00A42E82"/>
    <w:rsid w:val="00A46EE9"/>
    <w:rsid w:val="00A55E83"/>
    <w:rsid w:val="00A579BB"/>
    <w:rsid w:val="00A63D55"/>
    <w:rsid w:val="00A64B19"/>
    <w:rsid w:val="00A8441B"/>
    <w:rsid w:val="00A9088C"/>
    <w:rsid w:val="00A9168C"/>
    <w:rsid w:val="00A919A2"/>
    <w:rsid w:val="00A95D89"/>
    <w:rsid w:val="00AA1491"/>
    <w:rsid w:val="00AB2CFC"/>
    <w:rsid w:val="00AB3243"/>
    <w:rsid w:val="00AB5232"/>
    <w:rsid w:val="00AB601D"/>
    <w:rsid w:val="00AE4378"/>
    <w:rsid w:val="00B00E66"/>
    <w:rsid w:val="00B1275E"/>
    <w:rsid w:val="00B13CAE"/>
    <w:rsid w:val="00B14DDC"/>
    <w:rsid w:val="00B30A5E"/>
    <w:rsid w:val="00B31505"/>
    <w:rsid w:val="00B405E2"/>
    <w:rsid w:val="00B47FA8"/>
    <w:rsid w:val="00B6269C"/>
    <w:rsid w:val="00B70E66"/>
    <w:rsid w:val="00B74C73"/>
    <w:rsid w:val="00B86C97"/>
    <w:rsid w:val="00B91FA6"/>
    <w:rsid w:val="00B93EB5"/>
    <w:rsid w:val="00B96F5A"/>
    <w:rsid w:val="00BA2247"/>
    <w:rsid w:val="00BA5D97"/>
    <w:rsid w:val="00BA6B19"/>
    <w:rsid w:val="00BB1C52"/>
    <w:rsid w:val="00BB2A50"/>
    <w:rsid w:val="00BC1E48"/>
    <w:rsid w:val="00BD3F03"/>
    <w:rsid w:val="00BD4A98"/>
    <w:rsid w:val="00BE68D1"/>
    <w:rsid w:val="00C0704D"/>
    <w:rsid w:val="00C13F8D"/>
    <w:rsid w:val="00C15D53"/>
    <w:rsid w:val="00C214A6"/>
    <w:rsid w:val="00C24A51"/>
    <w:rsid w:val="00C25722"/>
    <w:rsid w:val="00C27C23"/>
    <w:rsid w:val="00C33F7E"/>
    <w:rsid w:val="00C44E40"/>
    <w:rsid w:val="00C473E6"/>
    <w:rsid w:val="00C50517"/>
    <w:rsid w:val="00C618DB"/>
    <w:rsid w:val="00C6214E"/>
    <w:rsid w:val="00C6456D"/>
    <w:rsid w:val="00C93384"/>
    <w:rsid w:val="00CA28BA"/>
    <w:rsid w:val="00CC1B36"/>
    <w:rsid w:val="00CC2D6D"/>
    <w:rsid w:val="00CD1729"/>
    <w:rsid w:val="00CD2E03"/>
    <w:rsid w:val="00CD38B1"/>
    <w:rsid w:val="00CE2D95"/>
    <w:rsid w:val="00D102D9"/>
    <w:rsid w:val="00D1063F"/>
    <w:rsid w:val="00D11007"/>
    <w:rsid w:val="00D1420C"/>
    <w:rsid w:val="00D23470"/>
    <w:rsid w:val="00D2449B"/>
    <w:rsid w:val="00D46089"/>
    <w:rsid w:val="00D54384"/>
    <w:rsid w:val="00D54E67"/>
    <w:rsid w:val="00D54F48"/>
    <w:rsid w:val="00D62664"/>
    <w:rsid w:val="00D632BB"/>
    <w:rsid w:val="00D80310"/>
    <w:rsid w:val="00D95388"/>
    <w:rsid w:val="00D9608A"/>
    <w:rsid w:val="00D96DF7"/>
    <w:rsid w:val="00D97AA3"/>
    <w:rsid w:val="00DA27B6"/>
    <w:rsid w:val="00DA43CF"/>
    <w:rsid w:val="00DB61F7"/>
    <w:rsid w:val="00DC3C8A"/>
    <w:rsid w:val="00DD31D7"/>
    <w:rsid w:val="00DD62F6"/>
    <w:rsid w:val="00DD7E97"/>
    <w:rsid w:val="00DE740E"/>
    <w:rsid w:val="00DF42DA"/>
    <w:rsid w:val="00E03AFD"/>
    <w:rsid w:val="00E0485E"/>
    <w:rsid w:val="00E06DFC"/>
    <w:rsid w:val="00E23FB0"/>
    <w:rsid w:val="00E270CB"/>
    <w:rsid w:val="00E3317F"/>
    <w:rsid w:val="00E35809"/>
    <w:rsid w:val="00E46243"/>
    <w:rsid w:val="00E66534"/>
    <w:rsid w:val="00E719D1"/>
    <w:rsid w:val="00E71A35"/>
    <w:rsid w:val="00E72F6C"/>
    <w:rsid w:val="00E77B96"/>
    <w:rsid w:val="00E80113"/>
    <w:rsid w:val="00E81250"/>
    <w:rsid w:val="00EA09F9"/>
    <w:rsid w:val="00EA1673"/>
    <w:rsid w:val="00EB7D74"/>
    <w:rsid w:val="00EC23C7"/>
    <w:rsid w:val="00ED00B7"/>
    <w:rsid w:val="00ED18C0"/>
    <w:rsid w:val="00EF1341"/>
    <w:rsid w:val="00EF2425"/>
    <w:rsid w:val="00EF44E6"/>
    <w:rsid w:val="00F012FA"/>
    <w:rsid w:val="00F055D3"/>
    <w:rsid w:val="00F129DD"/>
    <w:rsid w:val="00F16D0F"/>
    <w:rsid w:val="00F2176C"/>
    <w:rsid w:val="00F32789"/>
    <w:rsid w:val="00F52353"/>
    <w:rsid w:val="00F7088C"/>
    <w:rsid w:val="00F71D53"/>
    <w:rsid w:val="00F731F5"/>
    <w:rsid w:val="00F75F59"/>
    <w:rsid w:val="00F81EEE"/>
    <w:rsid w:val="00F8201E"/>
    <w:rsid w:val="00F9067F"/>
    <w:rsid w:val="00FA48EB"/>
    <w:rsid w:val="00FC046F"/>
    <w:rsid w:val="00FC6A11"/>
    <w:rsid w:val="00FC77EC"/>
    <w:rsid w:val="00FD334A"/>
    <w:rsid w:val="00FD6AE3"/>
    <w:rsid w:val="00FD760B"/>
    <w:rsid w:val="00FF17D6"/>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5E4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D3E27-CE1D-44A6-8BB9-CE2560D83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2022-01-28T11:36:00Z</cp:lastPrinted>
  <dcterms:created xsi:type="dcterms:W3CDTF">2025-02-25T15:25:00Z</dcterms:created>
  <dcterms:modified xsi:type="dcterms:W3CDTF">2025-02-25T15:25:00Z</dcterms:modified>
</cp:coreProperties>
</file>