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78863" w14:textId="77777777" w:rsidR="005522D3" w:rsidRDefault="005522D3">
      <w:pPr>
        <w:pStyle w:val="PLANNING"/>
      </w:pPr>
    </w:p>
    <w:p w14:paraId="1B37F304" w14:textId="25063873" w:rsidR="00441735" w:rsidRDefault="003B0981" w:rsidP="000C3E7C">
      <w:pPr>
        <w:pStyle w:val="PLANNING"/>
        <w:jc w:val="center"/>
      </w:pPr>
      <w:r>
        <w:rPr>
          <w:noProof/>
        </w:rPr>
        <w:drawing>
          <wp:inline distT="0" distB="0" distL="0" distR="0" wp14:anchorId="5072C3FB" wp14:editId="7AB04EF8">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4C72AB02" w14:textId="77777777" w:rsidR="00441735" w:rsidRDefault="00441735">
      <w:pPr>
        <w:pStyle w:val="PLANNING"/>
      </w:pPr>
    </w:p>
    <w:p w14:paraId="66173B4C"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244ACF11"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64F68DB3"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61A6F3A7"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5CDE2F86"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52D20A0F" w14:textId="77777777" w:rsidR="000C3E7C" w:rsidRDefault="000C3E7C" w:rsidP="000C3E7C">
      <w:pPr>
        <w:jc w:val="right"/>
        <w:rPr>
          <w:rFonts w:ascii="Calibri" w:hAnsi="Calibri"/>
          <w:noProof/>
          <w:sz w:val="18"/>
        </w:rPr>
      </w:pPr>
    </w:p>
    <w:p w14:paraId="5ED8CE3E" w14:textId="77777777" w:rsidR="000C3E7C" w:rsidRDefault="000C3E7C" w:rsidP="000C3E7C">
      <w:pPr>
        <w:jc w:val="right"/>
        <w:rPr>
          <w:rFonts w:ascii="Calibri" w:hAnsi="Calibri"/>
          <w:noProof/>
          <w:sz w:val="18"/>
        </w:rPr>
      </w:pPr>
    </w:p>
    <w:p w14:paraId="3E6D16D6" w14:textId="77777777" w:rsidR="000C3E7C" w:rsidRDefault="000C3E7C" w:rsidP="000C3E7C">
      <w:pPr>
        <w:jc w:val="right"/>
        <w:rPr>
          <w:rFonts w:ascii="Calibri" w:hAnsi="Calibri"/>
          <w:noProof/>
          <w:sz w:val="18"/>
        </w:rPr>
      </w:pPr>
    </w:p>
    <w:p w14:paraId="7A11E24F" w14:textId="77777777" w:rsidR="000C3E7C" w:rsidRDefault="000C3E7C" w:rsidP="000C3E7C">
      <w:pPr>
        <w:jc w:val="right"/>
        <w:rPr>
          <w:rFonts w:ascii="Calibri" w:hAnsi="Calibri"/>
          <w:noProof/>
          <w:sz w:val="18"/>
        </w:rPr>
      </w:pPr>
    </w:p>
    <w:p w14:paraId="1B23F759" w14:textId="77777777" w:rsidR="000C3E7C" w:rsidRDefault="000C3E7C" w:rsidP="000C3E7C">
      <w:pPr>
        <w:jc w:val="right"/>
        <w:rPr>
          <w:rFonts w:ascii="Calibri" w:hAnsi="Calibri"/>
          <w:noProof/>
          <w:sz w:val="18"/>
        </w:rPr>
      </w:pPr>
    </w:p>
    <w:p w14:paraId="4DD4D48B" w14:textId="4A3333B0" w:rsidR="000C3E7C" w:rsidRPr="00894ED2" w:rsidRDefault="000C3E7C" w:rsidP="000C3E7C">
      <w:pPr>
        <w:rPr>
          <w:rFonts w:ascii="Calibri" w:hAnsi="Calibri"/>
          <w:noProof/>
        </w:rPr>
      </w:pPr>
      <w:r w:rsidRPr="00894ED2">
        <w:rPr>
          <w:rFonts w:ascii="Calibri" w:hAnsi="Calibri"/>
          <w:noProof/>
        </w:rPr>
        <w:t xml:space="preserve">My reference: </w:t>
      </w:r>
      <w:r w:rsidR="003B0981">
        <w:rPr>
          <w:rFonts w:ascii="Calibri" w:hAnsi="Calibri"/>
          <w:noProof/>
        </w:rPr>
        <w:t>3/2024/0494</w:t>
      </w:r>
    </w:p>
    <w:p w14:paraId="78EAAFB6"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5E63C370" w14:textId="77777777" w:rsidR="000C3E7C" w:rsidRPr="00894ED2" w:rsidRDefault="00BB5956" w:rsidP="000C3E7C">
      <w:pPr>
        <w:rPr>
          <w:rFonts w:ascii="Calibri" w:hAnsi="Calibri"/>
          <w:noProof/>
        </w:rPr>
      </w:pPr>
      <w:r>
        <w:rPr>
          <w:rFonts w:ascii="Calibri" w:hAnsi="Calibri"/>
          <w:noProof/>
        </w:rPr>
        <w:t>www.ribblevalley.gov.uk</w:t>
      </w:r>
    </w:p>
    <w:p w14:paraId="344D964D"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1F8BD00E" w14:textId="340A74D4"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1A37F6">
        <w:rPr>
          <w:rFonts w:ascii="Calibri" w:hAnsi="Calibri"/>
          <w:noProof/>
        </w:rPr>
        <w:t>14 August 2024</w:t>
      </w:r>
      <w:r w:rsidRPr="00894ED2">
        <w:rPr>
          <w:rFonts w:ascii="Calibri" w:hAnsi="Calibri"/>
          <w:noProof/>
        </w:rPr>
        <w:fldChar w:fldCharType="end"/>
      </w:r>
    </w:p>
    <w:p w14:paraId="51B978E2" w14:textId="77777777" w:rsidR="000C3E7C" w:rsidRDefault="000C3E7C" w:rsidP="000C3E7C">
      <w:pPr>
        <w:rPr>
          <w:rFonts w:ascii="Arial" w:hAnsi="Arial"/>
          <w:noProof/>
          <w:sz w:val="16"/>
        </w:rPr>
      </w:pPr>
    </w:p>
    <w:p w14:paraId="535F6119" w14:textId="77777777" w:rsidR="00441735" w:rsidRDefault="00441735">
      <w:pPr>
        <w:pStyle w:val="PLANNING"/>
      </w:pPr>
    </w:p>
    <w:p w14:paraId="0D1CE49C" w14:textId="77777777" w:rsidR="00441735" w:rsidRDefault="00441735">
      <w:pPr>
        <w:pStyle w:val="PLANNING"/>
      </w:pPr>
    </w:p>
    <w:p w14:paraId="287AF70F" w14:textId="4403D075" w:rsidR="000C3E7C" w:rsidRDefault="000C3E7C" w:rsidP="000C3E7C">
      <w:pPr>
        <w:rPr>
          <w:rFonts w:ascii="Calibri" w:hAnsi="Calibri" w:cs="Calibri"/>
          <w:color w:val="000000"/>
        </w:rPr>
      </w:pPr>
      <w:r w:rsidRPr="00344823">
        <w:rPr>
          <w:rFonts w:ascii="Calibri" w:hAnsi="Calibri" w:cs="Calibri"/>
          <w:color w:val="000000"/>
        </w:rPr>
        <w:t xml:space="preserve">Location: </w:t>
      </w:r>
      <w:r w:rsidR="003B0981">
        <w:rPr>
          <w:rFonts w:ascii="Calibri" w:hAnsi="Calibri"/>
          <w:sz w:val="24"/>
          <w:szCs w:val="24"/>
        </w:rPr>
        <w:t>Springwood Whalley Road Hurst Green BB7 9PN</w:t>
      </w:r>
    </w:p>
    <w:p w14:paraId="1064D1BE" w14:textId="14544C88"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3B0981">
        <w:rPr>
          <w:rFonts w:ascii="Calibri" w:hAnsi="Calibri"/>
          <w:sz w:val="24"/>
          <w:szCs w:val="24"/>
        </w:rPr>
        <w:t>Approval of details reserved by condition 10 (historic building record) of planning permission 3/2023/0814.</w:t>
      </w:r>
    </w:p>
    <w:p w14:paraId="06CF30F5" w14:textId="77777777" w:rsidR="000C3E7C" w:rsidRDefault="000C3E7C" w:rsidP="000C3E7C">
      <w:pPr>
        <w:rPr>
          <w:rFonts w:ascii="Calibri" w:hAnsi="Calibri" w:cs="Calibri"/>
          <w:color w:val="000000"/>
        </w:rPr>
      </w:pPr>
    </w:p>
    <w:p w14:paraId="5595CCB1"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6EDA8A26"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0D51F2C6" w14:textId="77777777">
        <w:trPr>
          <w:cantSplit/>
        </w:trPr>
        <w:tc>
          <w:tcPr>
            <w:tcW w:w="9414" w:type="dxa"/>
            <w:tcBorders>
              <w:left w:val="nil"/>
            </w:tcBorders>
          </w:tcPr>
          <w:p w14:paraId="6B3DB154" w14:textId="0BF76600" w:rsidR="003B0981" w:rsidRDefault="003B0981">
            <w:pPr>
              <w:pStyle w:val="TableText"/>
              <w:rPr>
                <w:rFonts w:ascii="Calibri" w:hAnsi="Calibri"/>
                <w:sz w:val="24"/>
                <w:szCs w:val="24"/>
              </w:rPr>
            </w:pPr>
            <w:r>
              <w:rPr>
                <w:rFonts w:ascii="Calibri" w:hAnsi="Calibri"/>
                <w:sz w:val="24"/>
                <w:szCs w:val="24"/>
              </w:rPr>
              <w:t xml:space="preserve">Condition 10 is partially discharged insofar that the proposed scheme of works outlined in the submitted written scheme of investigation are acceptable. </w:t>
            </w:r>
          </w:p>
          <w:p w14:paraId="0CD2273C" w14:textId="77777777" w:rsidR="003B0981" w:rsidRDefault="003B0981">
            <w:pPr>
              <w:pStyle w:val="TableText"/>
              <w:rPr>
                <w:rFonts w:ascii="Calibri" w:hAnsi="Calibri"/>
                <w:sz w:val="24"/>
                <w:szCs w:val="24"/>
              </w:rPr>
            </w:pPr>
          </w:p>
          <w:p w14:paraId="50F2CA91" w14:textId="53E5A770" w:rsidR="005F71C3" w:rsidRPr="00641E0F" w:rsidRDefault="003B0981">
            <w:pPr>
              <w:pStyle w:val="TableText"/>
              <w:rPr>
                <w:rFonts w:ascii="Calibri" w:hAnsi="Calibri"/>
                <w:sz w:val="24"/>
                <w:szCs w:val="24"/>
              </w:rPr>
            </w:pPr>
            <w:r>
              <w:rPr>
                <w:rFonts w:ascii="Calibri" w:hAnsi="Calibri"/>
                <w:sz w:val="24"/>
                <w:szCs w:val="24"/>
              </w:rPr>
              <w:t xml:space="preserve">The condition can only be fully discharged once all necessary on-site recording, analysis, reporting and archiving has been satisfactorily completed and reported to the council. </w:t>
            </w:r>
          </w:p>
        </w:tc>
      </w:tr>
      <w:tr w:rsidR="005F71C3" w:rsidRPr="00641E0F" w14:paraId="44E9DFFB" w14:textId="77777777">
        <w:trPr>
          <w:cantSplit/>
        </w:trPr>
        <w:tc>
          <w:tcPr>
            <w:tcW w:w="9414" w:type="dxa"/>
            <w:tcBorders>
              <w:left w:val="nil"/>
            </w:tcBorders>
          </w:tcPr>
          <w:p w14:paraId="1BDB3E18" w14:textId="77777777" w:rsidR="005F71C3" w:rsidRPr="00641E0F" w:rsidRDefault="005F71C3">
            <w:pPr>
              <w:pStyle w:val="TableText"/>
              <w:rPr>
                <w:rFonts w:ascii="Calibri" w:hAnsi="Calibri"/>
                <w:sz w:val="24"/>
                <w:szCs w:val="24"/>
              </w:rPr>
            </w:pPr>
          </w:p>
        </w:tc>
      </w:tr>
      <w:tr w:rsidR="005F71C3" w14:paraId="185EB6A9" w14:textId="77777777">
        <w:trPr>
          <w:cantSplit/>
        </w:trPr>
        <w:tc>
          <w:tcPr>
            <w:tcW w:w="9414" w:type="dxa"/>
            <w:tcBorders>
              <w:left w:val="nil"/>
            </w:tcBorders>
          </w:tcPr>
          <w:p w14:paraId="4065B1B1" w14:textId="77777777" w:rsidR="005F71C3" w:rsidRPr="00641E0F" w:rsidRDefault="005F71C3">
            <w:pPr>
              <w:pStyle w:val="TableText"/>
              <w:rPr>
                <w:rFonts w:ascii="Calibri" w:hAnsi="Calibri"/>
                <w:sz w:val="24"/>
                <w:szCs w:val="24"/>
              </w:rPr>
            </w:pPr>
          </w:p>
        </w:tc>
      </w:tr>
      <w:tr w:rsidR="005F71C3" w14:paraId="74C89A40" w14:textId="77777777">
        <w:trPr>
          <w:cantSplit/>
        </w:trPr>
        <w:tc>
          <w:tcPr>
            <w:tcW w:w="9414" w:type="dxa"/>
            <w:tcBorders>
              <w:left w:val="nil"/>
            </w:tcBorders>
          </w:tcPr>
          <w:p w14:paraId="04921F54" w14:textId="77777777" w:rsidR="005F71C3" w:rsidRPr="00641E0F" w:rsidRDefault="005F71C3">
            <w:pPr>
              <w:pStyle w:val="TableText"/>
              <w:rPr>
                <w:rFonts w:ascii="Calibri" w:hAnsi="Calibri"/>
                <w:sz w:val="24"/>
                <w:szCs w:val="24"/>
              </w:rPr>
            </w:pPr>
          </w:p>
        </w:tc>
      </w:tr>
    </w:tbl>
    <w:p w14:paraId="4ED2870E"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7D93FD06" w14:textId="77777777" w:rsidR="00FE266A" w:rsidRDefault="00FE266A" w:rsidP="00FE266A">
      <w:pPr>
        <w:rPr>
          <w:rFonts w:ascii="Calibri" w:hAnsi="Calibri"/>
          <w:b/>
          <w:sz w:val="24"/>
          <w:szCs w:val="24"/>
        </w:rPr>
      </w:pPr>
      <w:r>
        <w:rPr>
          <w:rFonts w:ascii="Calibri" w:hAnsi="Calibri"/>
          <w:b/>
          <w:sz w:val="24"/>
          <w:szCs w:val="24"/>
        </w:rPr>
        <w:t>NICOLA HOPKINS</w:t>
      </w:r>
    </w:p>
    <w:p w14:paraId="315EC053"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1B04EE6C" w14:textId="77777777" w:rsidR="00FE266A" w:rsidRDefault="00FE266A" w:rsidP="00FE266A">
      <w:pPr>
        <w:pStyle w:val="TableText"/>
      </w:pPr>
    </w:p>
    <w:p w14:paraId="273B568A" w14:textId="77777777" w:rsidR="00E92439" w:rsidRDefault="00E92439" w:rsidP="00EC3181">
      <w:pPr>
        <w:pStyle w:val="TableText"/>
        <w:rPr>
          <w:rFonts w:ascii="Arial" w:hAnsi="Arial" w:cs="Arial"/>
          <w:b/>
        </w:rPr>
      </w:pPr>
    </w:p>
    <w:p w14:paraId="7590A5DD" w14:textId="57ADCF47" w:rsidR="003B0981" w:rsidRDefault="003B0981" w:rsidP="003B0981">
      <w:pPr>
        <w:pStyle w:val="TableText"/>
        <w:jc w:val="right"/>
        <w:rPr>
          <w:rFonts w:ascii="Arial" w:hAnsi="Arial" w:cs="Arial"/>
          <w:b/>
        </w:rPr>
      </w:pPr>
      <w:r>
        <w:rPr>
          <w:rFonts w:ascii="Arial" w:hAnsi="Arial" w:cs="Arial"/>
          <w:b/>
        </w:rPr>
        <w:t>P.T.O.</w:t>
      </w:r>
    </w:p>
    <w:p w14:paraId="2A73B38B" w14:textId="77777777" w:rsidR="009F3984" w:rsidRDefault="009F3984" w:rsidP="00EC3181">
      <w:pPr>
        <w:pStyle w:val="TableText"/>
        <w:rPr>
          <w:rFonts w:ascii="Arial" w:hAnsi="Arial" w:cs="Arial"/>
          <w:b/>
        </w:rPr>
      </w:pPr>
    </w:p>
    <w:p w14:paraId="33BB92F2" w14:textId="2A02D5AB" w:rsidR="009F3984" w:rsidRPr="00DD62CA" w:rsidRDefault="003B0981" w:rsidP="009F3984">
      <w:pPr>
        <w:rPr>
          <w:rFonts w:ascii="Calibri" w:hAnsi="Calibri"/>
          <w:sz w:val="24"/>
          <w:szCs w:val="24"/>
        </w:rPr>
      </w:pPr>
      <w:r>
        <w:rPr>
          <w:rFonts w:ascii="Calibri" w:hAnsi="Calibri"/>
          <w:sz w:val="24"/>
          <w:szCs w:val="24"/>
        </w:rPr>
        <w:lastRenderedPageBreak/>
        <w:t>Mr David Moore</w:t>
      </w:r>
    </w:p>
    <w:p w14:paraId="12BA7A1E" w14:textId="77777777" w:rsidR="003B0981" w:rsidRDefault="003B0981" w:rsidP="009F3984">
      <w:pPr>
        <w:pStyle w:val="TableText"/>
        <w:rPr>
          <w:rFonts w:ascii="Calibri" w:hAnsi="Calibri"/>
          <w:sz w:val="24"/>
          <w:szCs w:val="24"/>
        </w:rPr>
      </w:pPr>
      <w:r>
        <w:rPr>
          <w:rFonts w:ascii="Calibri" w:hAnsi="Calibri"/>
          <w:sz w:val="24"/>
          <w:szCs w:val="24"/>
        </w:rPr>
        <w:t>Springwood</w:t>
      </w:r>
    </w:p>
    <w:p w14:paraId="641CCA3A" w14:textId="77777777" w:rsidR="003B0981" w:rsidRDefault="003B0981" w:rsidP="009F3984">
      <w:pPr>
        <w:pStyle w:val="TableText"/>
        <w:rPr>
          <w:rFonts w:ascii="Calibri" w:hAnsi="Calibri"/>
          <w:sz w:val="24"/>
          <w:szCs w:val="24"/>
        </w:rPr>
      </w:pPr>
      <w:r>
        <w:rPr>
          <w:rFonts w:ascii="Calibri" w:hAnsi="Calibri"/>
          <w:sz w:val="24"/>
          <w:szCs w:val="24"/>
        </w:rPr>
        <w:t>Whalley Road</w:t>
      </w:r>
    </w:p>
    <w:p w14:paraId="3871BED7" w14:textId="77777777" w:rsidR="003B0981" w:rsidRDefault="003B0981" w:rsidP="009F3984">
      <w:pPr>
        <w:pStyle w:val="TableText"/>
        <w:rPr>
          <w:rFonts w:ascii="Calibri" w:hAnsi="Calibri"/>
          <w:sz w:val="24"/>
          <w:szCs w:val="24"/>
        </w:rPr>
      </w:pPr>
      <w:r>
        <w:rPr>
          <w:rFonts w:ascii="Calibri" w:hAnsi="Calibri"/>
          <w:sz w:val="24"/>
          <w:szCs w:val="24"/>
        </w:rPr>
        <w:t>Hurst Green</w:t>
      </w:r>
    </w:p>
    <w:p w14:paraId="3E011146" w14:textId="7EB31146" w:rsidR="009F3984" w:rsidRDefault="003B0981" w:rsidP="009F3984">
      <w:pPr>
        <w:pStyle w:val="TableText"/>
        <w:rPr>
          <w:rFonts w:ascii="Calibri" w:hAnsi="Calibri"/>
          <w:sz w:val="24"/>
          <w:szCs w:val="24"/>
        </w:rPr>
      </w:pPr>
      <w:r>
        <w:rPr>
          <w:rFonts w:ascii="Calibri" w:hAnsi="Calibri"/>
          <w:sz w:val="24"/>
          <w:szCs w:val="24"/>
        </w:rPr>
        <w:t>BB7 9PN</w:t>
      </w:r>
    </w:p>
    <w:p w14:paraId="4A008F95" w14:textId="77777777" w:rsidR="009F3984" w:rsidRDefault="009F3984" w:rsidP="009F3984">
      <w:pPr>
        <w:pStyle w:val="TableText"/>
        <w:rPr>
          <w:rFonts w:ascii="Calibri" w:hAnsi="Calibri"/>
          <w:sz w:val="24"/>
          <w:szCs w:val="24"/>
        </w:rPr>
      </w:pPr>
    </w:p>
    <w:p w14:paraId="12912937" w14:textId="77777777" w:rsidR="009F3984" w:rsidRDefault="009F3984" w:rsidP="009F3984">
      <w:pPr>
        <w:pStyle w:val="TableText"/>
        <w:rPr>
          <w:rFonts w:ascii="Calibri" w:hAnsi="Calibri"/>
          <w:sz w:val="24"/>
          <w:szCs w:val="24"/>
        </w:rPr>
      </w:pPr>
      <w:bookmarkStart w:id="0" w:name="Agent"/>
      <w:r>
        <w:rPr>
          <w:rFonts w:ascii="Calibri" w:hAnsi="Calibri"/>
          <w:sz w:val="24"/>
          <w:szCs w:val="24"/>
        </w:rPr>
        <w:t>Agent</w:t>
      </w:r>
    </w:p>
    <w:bookmarkEnd w:id="0"/>
    <w:p w14:paraId="13E4F4EF" w14:textId="77777777" w:rsidR="003B0981" w:rsidRDefault="003B0981" w:rsidP="009F3984">
      <w:pPr>
        <w:pStyle w:val="TableText"/>
        <w:rPr>
          <w:rFonts w:ascii="Calibri" w:hAnsi="Calibri"/>
          <w:sz w:val="24"/>
          <w:szCs w:val="24"/>
        </w:rPr>
      </w:pPr>
      <w:r>
        <w:rPr>
          <w:rFonts w:ascii="Calibri" w:hAnsi="Calibri"/>
          <w:sz w:val="24"/>
          <w:szCs w:val="24"/>
        </w:rPr>
        <w:t>Zara Moon Architects</w:t>
      </w:r>
    </w:p>
    <w:p w14:paraId="6268C172" w14:textId="77777777" w:rsidR="003B0981" w:rsidRDefault="003B0981" w:rsidP="009F3984">
      <w:pPr>
        <w:pStyle w:val="TableText"/>
        <w:rPr>
          <w:rFonts w:ascii="Calibri" w:hAnsi="Calibri"/>
          <w:sz w:val="24"/>
          <w:szCs w:val="24"/>
        </w:rPr>
      </w:pPr>
      <w:r>
        <w:rPr>
          <w:rFonts w:ascii="Calibri" w:hAnsi="Calibri"/>
          <w:sz w:val="24"/>
          <w:szCs w:val="24"/>
        </w:rPr>
        <w:t>The Barn at Fieldings Farm</w:t>
      </w:r>
    </w:p>
    <w:p w14:paraId="011B808E" w14:textId="77777777" w:rsidR="003B0981" w:rsidRDefault="003B0981" w:rsidP="009F3984">
      <w:pPr>
        <w:pStyle w:val="TableText"/>
        <w:rPr>
          <w:rFonts w:ascii="Calibri" w:hAnsi="Calibri"/>
          <w:sz w:val="24"/>
          <w:szCs w:val="24"/>
        </w:rPr>
      </w:pPr>
      <w:r>
        <w:rPr>
          <w:rFonts w:ascii="Calibri" w:hAnsi="Calibri"/>
          <w:sz w:val="24"/>
          <w:szCs w:val="24"/>
        </w:rPr>
        <w:t>Whalley Banks</w:t>
      </w:r>
    </w:p>
    <w:p w14:paraId="2E2B41B4" w14:textId="77777777" w:rsidR="003B0981" w:rsidRDefault="003B0981" w:rsidP="009F3984">
      <w:pPr>
        <w:pStyle w:val="TableText"/>
        <w:rPr>
          <w:rFonts w:ascii="Calibri" w:hAnsi="Calibri"/>
          <w:sz w:val="24"/>
          <w:szCs w:val="24"/>
        </w:rPr>
      </w:pPr>
      <w:r>
        <w:rPr>
          <w:rFonts w:ascii="Calibri" w:hAnsi="Calibri"/>
          <w:sz w:val="24"/>
          <w:szCs w:val="24"/>
        </w:rPr>
        <w:t>Whalley</w:t>
      </w:r>
    </w:p>
    <w:p w14:paraId="65E6CD8A" w14:textId="4C8455E4" w:rsidR="009F3984" w:rsidRDefault="003B0981" w:rsidP="009F3984">
      <w:pPr>
        <w:pStyle w:val="TableText"/>
        <w:rPr>
          <w:rFonts w:ascii="Calibri" w:hAnsi="Calibri"/>
          <w:sz w:val="24"/>
          <w:szCs w:val="24"/>
        </w:rPr>
      </w:pPr>
      <w:r>
        <w:rPr>
          <w:rFonts w:ascii="Calibri" w:hAnsi="Calibri"/>
          <w:sz w:val="24"/>
          <w:szCs w:val="24"/>
        </w:rPr>
        <w:t>BB7 9JL</w:t>
      </w:r>
    </w:p>
    <w:p w14:paraId="62680790" w14:textId="77777777" w:rsidR="00740309" w:rsidRDefault="00740309" w:rsidP="009F3984">
      <w:pPr>
        <w:pStyle w:val="TableText"/>
        <w:rPr>
          <w:rFonts w:ascii="Calibri" w:hAnsi="Calibri"/>
          <w:sz w:val="24"/>
          <w:szCs w:val="24"/>
        </w:rPr>
      </w:pPr>
    </w:p>
    <w:p w14:paraId="4BF716BF" w14:textId="77777777" w:rsidR="00851611" w:rsidRDefault="00851611" w:rsidP="00851611">
      <w:pPr>
        <w:rPr>
          <w:rFonts w:ascii="Calibri" w:hAnsi="Calibri" w:cs="Calibri"/>
          <w:b/>
          <w:bCs/>
          <w:szCs w:val="22"/>
        </w:rPr>
      </w:pPr>
      <w:r>
        <w:rPr>
          <w:rFonts w:ascii="Calibri" w:hAnsi="Calibri" w:cs="Calibri"/>
          <w:b/>
          <w:bCs/>
          <w:szCs w:val="22"/>
        </w:rPr>
        <w:t xml:space="preserve">Right of Appeal </w:t>
      </w:r>
    </w:p>
    <w:p w14:paraId="61308BC1" w14:textId="77777777" w:rsidR="00851611" w:rsidRDefault="00851611" w:rsidP="00851611">
      <w:pPr>
        <w:rPr>
          <w:rFonts w:ascii="Calibri" w:hAnsi="Calibri" w:cs="Calibri"/>
          <w:b/>
          <w:bCs/>
          <w:szCs w:val="22"/>
        </w:rPr>
      </w:pPr>
    </w:p>
    <w:p w14:paraId="1E6E5A4F" w14:textId="77777777" w:rsidR="00851611" w:rsidRDefault="00851611" w:rsidP="0085161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A8B5175" w14:textId="77777777" w:rsidR="00851611" w:rsidRDefault="00851611" w:rsidP="0085161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DC0B74B"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5447E28"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FA88A11" w14:textId="77777777" w:rsidR="00851611" w:rsidRDefault="00851611" w:rsidP="00851611">
      <w:pPr>
        <w:rPr>
          <w:rFonts w:ascii="Calibri" w:hAnsi="Calibri" w:cs="Calibri"/>
          <w:szCs w:val="22"/>
        </w:rPr>
      </w:pPr>
    </w:p>
    <w:p w14:paraId="6FC5773A" w14:textId="77777777" w:rsidR="00851611" w:rsidRDefault="00851611" w:rsidP="00851611">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9" w:history="1">
        <w:r w:rsidRPr="0038684D">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57BF019" w14:textId="77777777" w:rsidR="00851611" w:rsidRDefault="00851611" w:rsidP="00851611">
      <w:pPr>
        <w:rPr>
          <w:rFonts w:ascii="Calibri" w:hAnsi="Calibri" w:cs="Calibri"/>
          <w:szCs w:val="22"/>
        </w:rPr>
      </w:pPr>
    </w:p>
    <w:p w14:paraId="7EB6A4A7" w14:textId="77777777" w:rsidR="00851611" w:rsidRDefault="00851611" w:rsidP="00851611">
      <w:pPr>
        <w:rPr>
          <w:rFonts w:ascii="Calibri" w:hAnsi="Calibri" w:cs="Calibri"/>
          <w:b/>
          <w:bCs/>
          <w:szCs w:val="22"/>
        </w:rPr>
      </w:pPr>
      <w:r>
        <w:rPr>
          <w:rFonts w:ascii="Calibri" w:hAnsi="Calibri" w:cs="Calibri"/>
          <w:b/>
          <w:bCs/>
          <w:szCs w:val="22"/>
        </w:rPr>
        <w:t xml:space="preserve">Purchase Notices </w:t>
      </w:r>
    </w:p>
    <w:p w14:paraId="3FD79600" w14:textId="77777777" w:rsidR="00851611" w:rsidRDefault="00851611" w:rsidP="0085161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CA2573D" w14:textId="77777777" w:rsidR="00851611" w:rsidRDefault="00851611" w:rsidP="009F3984">
      <w:pPr>
        <w:pStyle w:val="TableText"/>
        <w:rPr>
          <w:rFonts w:ascii="Calibri" w:hAnsi="Calibri"/>
          <w:sz w:val="24"/>
          <w:szCs w:val="24"/>
        </w:rPr>
      </w:pPr>
    </w:p>
    <w:sectPr w:rsidR="00851611">
      <w:headerReference w:type="even" r:id="rId10"/>
      <w:headerReference w:type="default" r:id="rId11"/>
      <w:footerReference w:type="even" r:id="rId12"/>
      <w:footerReference w:type="default" r:id="rId13"/>
      <w:headerReference w:type="first" r:id="rId14"/>
      <w:footerReference w:type="first" r:id="rId15"/>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94B02" w14:textId="77777777" w:rsidR="003B0981" w:rsidRDefault="003B0981">
      <w:r>
        <w:separator/>
      </w:r>
    </w:p>
  </w:endnote>
  <w:endnote w:type="continuationSeparator" w:id="0">
    <w:p w14:paraId="6A193C41" w14:textId="77777777" w:rsidR="003B0981" w:rsidRDefault="003B0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F9450" w14:textId="77777777" w:rsidR="005F71C3" w:rsidRDefault="005F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2D382"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21A56" w14:textId="77777777" w:rsidR="005F71C3" w:rsidRDefault="005F7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AF08F" w14:textId="77777777" w:rsidR="003B0981" w:rsidRDefault="003B0981">
      <w:r>
        <w:separator/>
      </w:r>
    </w:p>
  </w:footnote>
  <w:footnote w:type="continuationSeparator" w:id="0">
    <w:p w14:paraId="5B8ECB46" w14:textId="77777777" w:rsidR="003B0981" w:rsidRDefault="003B0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79EFA" w14:textId="77777777" w:rsidR="005F71C3" w:rsidRDefault="005F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9019A"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2D9F5E7E"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55F8D0D4" w14:textId="77777777" w:rsidR="005522D3" w:rsidRPr="00641E0F" w:rsidRDefault="005522D3">
    <w:pPr>
      <w:pStyle w:val="addresses"/>
      <w:rPr>
        <w:rFonts w:ascii="Calibri" w:hAnsi="Calibri"/>
        <w:sz w:val="24"/>
        <w:szCs w:val="24"/>
      </w:rPr>
    </w:pPr>
  </w:p>
  <w:p w14:paraId="457032AD" w14:textId="5E5AE152"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3B0981">
      <w:rPr>
        <w:rFonts w:ascii="Calibri" w:hAnsi="Calibri"/>
        <w:noProof/>
      </w:rPr>
      <w:t>3/2024/0494</w:t>
    </w:r>
    <w:r w:rsidRPr="00641E0F">
      <w:rPr>
        <w:rFonts w:ascii="Calibri" w:hAnsi="Calibri"/>
        <w:b/>
        <w:bCs/>
        <w:sz w:val="24"/>
        <w:szCs w:val="24"/>
      </w:rPr>
      <w:t xml:space="preserve">                                                                  DECISION DATE: </w:t>
    </w:r>
    <w:r w:rsidR="003B0981">
      <w:rPr>
        <w:rFonts w:ascii="Calibri" w:hAnsi="Calibri"/>
        <w:b/>
        <w:bCs/>
        <w:sz w:val="24"/>
        <w:szCs w:val="24"/>
      </w:rPr>
      <w:t>14 August 2024</w:t>
    </w:r>
  </w:p>
  <w:p w14:paraId="7C54F2A2" w14:textId="77777777" w:rsidR="005522D3" w:rsidRDefault="005522D3">
    <w:pPr>
      <w:pBdr>
        <w:bottom w:val="single" w:sz="4" w:space="1" w:color="auto"/>
      </w:pBdr>
    </w:pPr>
  </w:p>
  <w:p w14:paraId="61ED1E3F" w14:textId="77777777" w:rsidR="005522D3" w:rsidRDefault="005522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5CBEB"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412CD9BA" w14:textId="77777777" w:rsidR="005F71C3" w:rsidRPr="005F71C3" w:rsidRDefault="005F71C3" w:rsidP="005F71C3">
    <w:pPr>
      <w:pStyle w:val="Header"/>
      <w:jc w:val="center"/>
      <w:rPr>
        <w:rFonts w:ascii="Calibri" w:hAnsi="Calibri"/>
      </w:rPr>
    </w:pPr>
    <w:r w:rsidRPr="005F71C3">
      <w:rPr>
        <w:rFonts w:ascii="Calibri" w:hAnsi="Calibri"/>
      </w:rPr>
      <w:t xml:space="preserve">Directors </w:t>
    </w:r>
    <w:r w:rsidR="00C322BF">
      <w:rPr>
        <w:rFonts w:ascii="Calibri" w:hAnsi="Calibri"/>
      </w:rPr>
      <w:t>Adam Allen</w:t>
    </w:r>
    <w:r w:rsidRPr="005F71C3">
      <w:rPr>
        <w:rFonts w:ascii="Calibri" w:hAnsi="Calibri"/>
      </w:rPr>
      <w:t xml:space="preserve">, </w:t>
    </w:r>
    <w:r w:rsidR="00C322BF">
      <w:rPr>
        <w:rFonts w:ascii="Calibri" w:hAnsi="Calibri"/>
      </w:rPr>
      <w:t xml:space="preserve">BEng MSc, </w:t>
    </w:r>
    <w:r w:rsidRPr="005F71C3">
      <w:rPr>
        <w:rFonts w:ascii="Calibri" w:hAnsi="Calibri"/>
      </w:rPr>
      <w:t>N</w:t>
    </w:r>
    <w:r w:rsidR="001A0F1B">
      <w:rPr>
        <w:rFonts w:ascii="Calibri" w:hAnsi="Calibri"/>
      </w:rPr>
      <w:t>icola</w:t>
    </w:r>
    <w:r w:rsidRPr="005F71C3">
      <w:rPr>
        <w:rFonts w:ascii="Calibri" w:hAnsi="Calibri"/>
      </w:rPr>
      <w:t xml:space="preserve"> Hopkins MTCP MRTPI, Jane Pearson CPFA</w:t>
    </w:r>
  </w:p>
  <w:p w14:paraId="70A98903"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981"/>
    <w:rsid w:val="000434B1"/>
    <w:rsid w:val="000C3E7C"/>
    <w:rsid w:val="00150A6F"/>
    <w:rsid w:val="001A087C"/>
    <w:rsid w:val="001A0F1B"/>
    <w:rsid w:val="001A37F6"/>
    <w:rsid w:val="0025344E"/>
    <w:rsid w:val="00297B24"/>
    <w:rsid w:val="00321F86"/>
    <w:rsid w:val="003449FF"/>
    <w:rsid w:val="00382199"/>
    <w:rsid w:val="003B0981"/>
    <w:rsid w:val="00441735"/>
    <w:rsid w:val="005522D3"/>
    <w:rsid w:val="00566271"/>
    <w:rsid w:val="00577DC1"/>
    <w:rsid w:val="00583ED8"/>
    <w:rsid w:val="005F71C3"/>
    <w:rsid w:val="00641E0F"/>
    <w:rsid w:val="00661558"/>
    <w:rsid w:val="0070667B"/>
    <w:rsid w:val="00740309"/>
    <w:rsid w:val="007526EC"/>
    <w:rsid w:val="007A7F6F"/>
    <w:rsid w:val="00851611"/>
    <w:rsid w:val="00851E6F"/>
    <w:rsid w:val="008D7675"/>
    <w:rsid w:val="00940816"/>
    <w:rsid w:val="009C2053"/>
    <w:rsid w:val="009C792C"/>
    <w:rsid w:val="009F3984"/>
    <w:rsid w:val="00B05C9C"/>
    <w:rsid w:val="00B52864"/>
    <w:rsid w:val="00B6354F"/>
    <w:rsid w:val="00BB5956"/>
    <w:rsid w:val="00C322BF"/>
    <w:rsid w:val="00D405F4"/>
    <w:rsid w:val="00D93F8F"/>
    <w:rsid w:val="00D94217"/>
    <w:rsid w:val="00DE6561"/>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0FE41F"/>
  <w15:chartTrackingRefBased/>
  <w15:docId w15:val="{06A0E9A2-B4ED-4FB3-B931-E866C54C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v.uk/appeal-householder-planning-decision"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3</Pages>
  <Words>719</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4762</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2024-08-14T11:41:00Z</cp:lastPrinted>
  <dcterms:created xsi:type="dcterms:W3CDTF">2024-08-14T11:45:00Z</dcterms:created>
  <dcterms:modified xsi:type="dcterms:W3CDTF">2024-08-14T11:45:00Z</dcterms:modified>
</cp:coreProperties>
</file>