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695FE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695FE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F8F94CB" w:rsidR="00837F4F" w:rsidRPr="00D2449B" w:rsidRDefault="00695FE5"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6B1A558" w:rsidR="00837F4F" w:rsidRPr="00D2449B" w:rsidRDefault="00695FE5" w:rsidP="00D2449B">
            <w:pPr>
              <w:jc w:val="center"/>
              <w:rPr>
                <w:rFonts w:ascii="Calibri" w:hAnsi="Calibri"/>
                <w:b/>
                <w:szCs w:val="22"/>
              </w:rPr>
            </w:pPr>
            <w:r>
              <w:rPr>
                <w:rFonts w:ascii="Calibri" w:hAnsi="Calibri"/>
                <w:b/>
                <w:szCs w:val="22"/>
              </w:rPr>
              <w:t>1</w:t>
            </w:r>
            <w:r w:rsidR="00DE703E">
              <w:rPr>
                <w:rFonts w:ascii="Calibri" w:hAnsi="Calibri"/>
                <w:b/>
                <w:szCs w:val="22"/>
              </w:rPr>
              <w:t>5</w:t>
            </w:r>
            <w:r>
              <w:rPr>
                <w:rFonts w:ascii="Calibri" w:hAnsi="Calibri"/>
                <w:b/>
                <w:szCs w:val="22"/>
              </w:rPr>
              <w:t>/08/2024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6824874" w:rsidR="00837F4F" w:rsidRPr="00D2449B" w:rsidRDefault="00A21BAC"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0C14383" w:rsidR="00837F4F" w:rsidRPr="00D2449B" w:rsidRDefault="00A21BAC" w:rsidP="00D2449B">
            <w:pPr>
              <w:jc w:val="center"/>
              <w:rPr>
                <w:rFonts w:ascii="Calibri" w:hAnsi="Calibri"/>
                <w:b/>
                <w:szCs w:val="22"/>
              </w:rPr>
            </w:pPr>
            <w:r>
              <w:rPr>
                <w:rFonts w:ascii="Calibri" w:hAnsi="Calibri"/>
                <w:b/>
                <w:szCs w:val="22"/>
              </w:rPr>
              <w:t>19.8.24</w:t>
            </w:r>
          </w:p>
        </w:tc>
      </w:tr>
      <w:tr w:rsidR="004A5EA9" w:rsidRPr="00D2449B" w14:paraId="2094A164" w14:textId="77777777" w:rsidTr="00695FE5">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695FE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2D1C10C" w:rsidR="004A5EA9" w:rsidRPr="005F1A36" w:rsidRDefault="00B5479B" w:rsidP="008542DE">
            <w:pPr>
              <w:rPr>
                <w:rFonts w:ascii="Calibri" w:hAnsi="Calibri"/>
                <w:szCs w:val="22"/>
              </w:rPr>
            </w:pPr>
            <w:r w:rsidRPr="005F1A36">
              <w:rPr>
                <w:rFonts w:ascii="Calibri" w:hAnsi="Calibri"/>
                <w:szCs w:val="22"/>
              </w:rPr>
              <w:t>2024/</w:t>
            </w:r>
            <w:r w:rsidR="00695FE5">
              <w:rPr>
                <w:rFonts w:ascii="Calibri" w:hAnsi="Calibri"/>
                <w:szCs w:val="22"/>
              </w:rPr>
              <w:t>0529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695FE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0CBB099" w:rsidR="00824DB6" w:rsidRPr="00C0704D" w:rsidRDefault="00695FE5" w:rsidP="002C6277">
            <w:pPr>
              <w:rPr>
                <w:rFonts w:ascii="Calibri" w:hAnsi="Calibri"/>
                <w:szCs w:val="22"/>
              </w:rPr>
            </w:pPr>
            <w:r>
              <w:rPr>
                <w:rFonts w:ascii="Calibri" w:hAnsi="Calibri"/>
                <w:szCs w:val="22"/>
              </w:rPr>
              <w:t>1</w:t>
            </w:r>
            <w:r w:rsidR="00DE703E">
              <w:rPr>
                <w:rFonts w:ascii="Calibri" w:hAnsi="Calibri"/>
                <w:szCs w:val="22"/>
              </w:rPr>
              <w:t>5</w:t>
            </w:r>
            <w:r>
              <w:rPr>
                <w:rFonts w:ascii="Calibri" w:hAnsi="Calibri"/>
                <w:szCs w:val="22"/>
              </w:rPr>
              <w:t>/08/2024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25EB954" w:rsidR="00824DB6" w:rsidRPr="00C0704D" w:rsidRDefault="00695FE5"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695FE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8BC0A76" w:rsidR="004A5EA9" w:rsidRPr="00250879" w:rsidRDefault="00695FE5" w:rsidP="00811771">
            <w:pPr>
              <w:rPr>
                <w:rFonts w:ascii="Calibri" w:hAnsi="Calibri"/>
                <w:color w:val="548DD4" w:themeColor="text2" w:themeTint="99"/>
                <w:szCs w:val="22"/>
              </w:rPr>
            </w:pPr>
            <w:r w:rsidRPr="00A21BAC">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695FE5">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695FE5">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695FE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6D64634" w:rsidR="004A5EA9" w:rsidRPr="002C6277" w:rsidRDefault="00695FE5">
            <w:pPr>
              <w:rPr>
                <w:rFonts w:ascii="Calibri" w:hAnsi="Calibri"/>
                <w:szCs w:val="22"/>
              </w:rPr>
            </w:pPr>
            <w:r>
              <w:rPr>
                <w:rFonts w:ascii="Calibri" w:hAnsi="Calibri"/>
                <w:szCs w:val="22"/>
              </w:rPr>
              <w:t xml:space="preserve">Proposed demolition of existing flat-roof front porch and replacement with pitched roof porch and canopy over front window. </w:t>
            </w:r>
          </w:p>
        </w:tc>
      </w:tr>
      <w:tr w:rsidR="002A01CF" w:rsidRPr="00D2449B" w14:paraId="52988241" w14:textId="77777777" w:rsidTr="00695FE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DC725A1" w:rsidR="002A01CF" w:rsidRPr="002C6277" w:rsidRDefault="00695FE5" w:rsidP="00A42E82">
            <w:pPr>
              <w:rPr>
                <w:rFonts w:ascii="Calibri" w:hAnsi="Calibri"/>
                <w:szCs w:val="22"/>
              </w:rPr>
            </w:pPr>
            <w:r>
              <w:rPr>
                <w:rFonts w:ascii="Calibri" w:hAnsi="Calibri"/>
                <w:szCs w:val="22"/>
              </w:rPr>
              <w:t xml:space="preserve">16 Eastmoor Drive, Clitheroe BB7 1LG. </w:t>
            </w:r>
          </w:p>
        </w:tc>
      </w:tr>
      <w:tr w:rsidR="00A95D89" w:rsidRPr="00D2449B" w14:paraId="3FB99B2E" w14:textId="77777777" w:rsidTr="00695FE5">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695FE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695FE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A9D92AD" w:rsidR="002A01CF" w:rsidRPr="00295A61" w:rsidRDefault="00E95743">
            <w:pPr>
              <w:rPr>
                <w:rFonts w:ascii="Calibri" w:hAnsi="Calibri"/>
                <w:bCs/>
                <w:szCs w:val="22"/>
              </w:rPr>
            </w:pPr>
            <w:r>
              <w:rPr>
                <w:rFonts w:ascii="Calibri" w:hAnsi="Calibri"/>
                <w:bCs/>
                <w:szCs w:val="22"/>
              </w:rPr>
              <w:t xml:space="preserve">Clitheroe Town Council raise no objection to the proposal.  </w:t>
            </w:r>
          </w:p>
        </w:tc>
      </w:tr>
      <w:tr w:rsidR="00C618DB" w:rsidRPr="00D2449B" w14:paraId="639E958B" w14:textId="77777777" w:rsidTr="00695FE5">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695FE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695FE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A91CD08" w:rsidR="002A01CF" w:rsidRPr="00D2449B" w:rsidRDefault="00695FE5">
            <w:pPr>
              <w:rPr>
                <w:rFonts w:ascii="Calibri" w:hAnsi="Calibri"/>
                <w:b/>
                <w:szCs w:val="22"/>
              </w:rPr>
            </w:pPr>
            <w:r>
              <w:rPr>
                <w:rFonts w:ascii="Calibri" w:hAnsi="Calibri"/>
                <w:b/>
                <w:szCs w:val="22"/>
              </w:rPr>
              <w:t>N/A</w:t>
            </w:r>
          </w:p>
        </w:tc>
      </w:tr>
      <w:tr w:rsidR="00C0704D" w:rsidRPr="00D2449B" w14:paraId="62663AAF" w14:textId="77777777" w:rsidTr="00695FE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695FE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95FE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5E0675F" w:rsidR="00C0704D" w:rsidRPr="00C0704D" w:rsidRDefault="00E95743"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695FE5">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695FE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95FE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7560CA47" w14:textId="77777777" w:rsidR="00695FE5" w:rsidRDefault="00695FE5" w:rsidP="008D26AB">
            <w:pPr>
              <w:rPr>
                <w:rFonts w:ascii="Calibri" w:hAnsi="Calibri"/>
                <w:szCs w:val="22"/>
              </w:rPr>
            </w:pPr>
          </w:p>
          <w:p w14:paraId="26F605D3" w14:textId="66736E71"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695FE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33836143" w14:textId="0EFB94BE" w:rsidR="00695FE5" w:rsidRPr="00695FE5" w:rsidRDefault="00695FE5" w:rsidP="00695FE5">
            <w:pPr>
              <w:pStyle w:val="PLANNING"/>
              <w:rPr>
                <w:rFonts w:ascii="Calibri" w:hAnsi="Calibri"/>
                <w:b/>
                <w:bCs/>
                <w:szCs w:val="22"/>
              </w:rPr>
            </w:pPr>
            <w:r w:rsidRPr="00695FE5">
              <w:rPr>
                <w:rFonts w:ascii="Calibri" w:hAnsi="Calibri"/>
                <w:b/>
                <w:bCs/>
                <w:szCs w:val="22"/>
              </w:rPr>
              <w:t xml:space="preserve">2017/0906: </w:t>
            </w:r>
            <w:r w:rsidR="00B4498D" w:rsidRPr="00B4498D">
              <w:rPr>
                <w:rFonts w:ascii="Calibri" w:hAnsi="Calibri"/>
                <w:szCs w:val="22"/>
              </w:rPr>
              <w:t>Proposed first floor extension over existing rear ground floor room. (approved with conditions).</w:t>
            </w:r>
            <w:r w:rsidR="00B4498D">
              <w:rPr>
                <w:rFonts w:ascii="Calibri" w:hAnsi="Calibri"/>
                <w:b/>
                <w:bCs/>
                <w:szCs w:val="22"/>
              </w:rPr>
              <w:t xml:space="preserve"> </w:t>
            </w:r>
          </w:p>
          <w:p w14:paraId="17147D50" w14:textId="04C76160" w:rsidR="00695FE5" w:rsidRPr="00D2449B" w:rsidRDefault="00695FE5" w:rsidP="00695FE5">
            <w:pPr>
              <w:pStyle w:val="PLANNING"/>
              <w:rPr>
                <w:rFonts w:ascii="Calibri" w:hAnsi="Calibri"/>
                <w:b/>
                <w:bCs/>
                <w:szCs w:val="22"/>
              </w:rPr>
            </w:pPr>
          </w:p>
        </w:tc>
      </w:tr>
      <w:tr w:rsidR="00C0704D" w:rsidRPr="00D2449B" w14:paraId="6AAC3B0A" w14:textId="77777777" w:rsidTr="00695FE5">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695FE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695FE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76598CFF" w14:textId="2E57819B" w:rsidR="00A43CDE" w:rsidRDefault="00634656" w:rsidP="008D26AB">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an end of terrace property on block of four residential units. The surrounding area is predominately residential in nature, being typified of similar terraced and semi-detached properties. The application site is not on any designated land. </w:t>
            </w:r>
          </w:p>
          <w:p w14:paraId="62370E9F" w14:textId="00E5F048" w:rsidR="00634656" w:rsidRPr="006C2BFA" w:rsidRDefault="00634656"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695FE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8FB54EF" w14:textId="37AA21ED" w:rsidR="00A43CDE" w:rsidRDefault="00634656" w:rsidP="008D26AB">
            <w:pPr>
              <w:pStyle w:val="Header"/>
              <w:tabs>
                <w:tab w:val="clear" w:pos="4153"/>
                <w:tab w:val="clear" w:pos="8306"/>
              </w:tabs>
              <w:jc w:val="both"/>
              <w:rPr>
                <w:rFonts w:ascii="Calibri" w:hAnsi="Calibri"/>
                <w:szCs w:val="22"/>
              </w:rPr>
            </w:pPr>
            <w:r>
              <w:rPr>
                <w:rFonts w:ascii="Calibri" w:hAnsi="Calibri"/>
                <w:szCs w:val="22"/>
              </w:rPr>
              <w:lastRenderedPageBreak/>
              <w:t xml:space="preserve">Consent is sought for the construction of a single-story porch extension with associated canopy to the principal elevation of the application dwelling. The flat-roof porch extension will be demolished to accommodate this. </w:t>
            </w:r>
          </w:p>
          <w:p w14:paraId="1B20488F" w14:textId="2BF28974" w:rsidR="00634656" w:rsidRPr="00D54E67" w:rsidRDefault="00634656" w:rsidP="008D26AB">
            <w:pPr>
              <w:pStyle w:val="Header"/>
              <w:tabs>
                <w:tab w:val="clear" w:pos="4153"/>
                <w:tab w:val="clear" w:pos="8306"/>
              </w:tabs>
              <w:jc w:val="both"/>
              <w:rPr>
                <w:rFonts w:ascii="Calibri" w:hAnsi="Calibri"/>
                <w:szCs w:val="22"/>
              </w:rPr>
            </w:pPr>
          </w:p>
        </w:tc>
      </w:tr>
      <w:tr w:rsidR="00C0704D" w:rsidRPr="00D2449B" w14:paraId="617768FF" w14:textId="77777777" w:rsidTr="00695FE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D0B258F" w14:textId="6D17DC72" w:rsidR="00065833" w:rsidRDefault="00634656" w:rsidP="00406EBD">
            <w:pPr>
              <w:contextualSpacing/>
              <w:rPr>
                <w:rFonts w:ascii="Calibri" w:hAnsi="Calibri"/>
                <w:szCs w:val="22"/>
              </w:rPr>
            </w:pPr>
            <w:r>
              <w:rPr>
                <w:rFonts w:ascii="Calibri" w:hAnsi="Calibri"/>
                <w:szCs w:val="22"/>
              </w:rPr>
              <w:t>The proposed porch will replace an existing, similar structure on the site and does not involve the introduction of any</w:t>
            </w:r>
            <w:r w:rsidR="00DE703E">
              <w:rPr>
                <w:rFonts w:ascii="Calibri" w:hAnsi="Calibri"/>
                <w:szCs w:val="22"/>
              </w:rPr>
              <w:t xml:space="preserve"> new</w:t>
            </w:r>
            <w:r>
              <w:rPr>
                <w:rFonts w:ascii="Calibri" w:hAnsi="Calibri"/>
                <w:szCs w:val="22"/>
              </w:rPr>
              <w:t xml:space="preserve"> substantial built form. As such, there is no adverse impact in respect of loss of light or overbearing impact expected for neighbouring receptors. </w:t>
            </w:r>
          </w:p>
          <w:p w14:paraId="0DB485A3" w14:textId="6CF1C008" w:rsidR="00634656" w:rsidRPr="00C0704D" w:rsidRDefault="00634656" w:rsidP="00406EBD">
            <w:pPr>
              <w:contextualSpacing/>
              <w:rPr>
                <w:rFonts w:ascii="Calibri" w:hAnsi="Calibri"/>
                <w:szCs w:val="22"/>
              </w:rPr>
            </w:pPr>
          </w:p>
        </w:tc>
      </w:tr>
      <w:tr w:rsidR="00C0704D" w:rsidRPr="00D2449B" w14:paraId="6754C065" w14:textId="77777777" w:rsidTr="00695FE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8E805CD" w14:textId="77777777" w:rsidR="00065833" w:rsidRDefault="003C5B28" w:rsidP="00406EBD">
            <w:pPr>
              <w:contextualSpacing/>
              <w:rPr>
                <w:rFonts w:asciiTheme="minorHAnsi" w:hAnsiTheme="minorHAnsi" w:cstheme="minorHAnsi"/>
              </w:rPr>
            </w:pPr>
            <w:r w:rsidRPr="00B4498D">
              <w:rPr>
                <w:rFonts w:asciiTheme="minorHAnsi" w:hAnsiTheme="minorHAnsi" w:cstheme="minorHAnsi"/>
              </w:rPr>
              <w:t xml:space="preserve"> </w:t>
            </w:r>
          </w:p>
          <w:p w14:paraId="27C111F1" w14:textId="77777777" w:rsidR="00DE703E" w:rsidRDefault="00DE703E" w:rsidP="00DE703E">
            <w:pPr>
              <w:pStyle w:val="Header"/>
              <w:tabs>
                <w:tab w:val="left" w:pos="720"/>
              </w:tabs>
              <w:jc w:val="both"/>
              <w:rPr>
                <w:rFonts w:asciiTheme="minorHAnsi" w:hAnsiTheme="minorHAnsi" w:cstheme="minorHAnsi"/>
              </w:rPr>
            </w:pPr>
            <w:r>
              <w:rPr>
                <w:rFonts w:asciiTheme="minorHAnsi" w:hAnsiTheme="minorHAnsi" w:cstheme="minorHAnsi"/>
              </w:rPr>
              <w:t>Policy DMG1 of the RVCS states that development must</w:t>
            </w:r>
          </w:p>
          <w:p w14:paraId="34DA1302" w14:textId="77777777" w:rsidR="00DE703E" w:rsidRDefault="00DE703E" w:rsidP="00DE703E">
            <w:pPr>
              <w:pStyle w:val="Header"/>
              <w:tabs>
                <w:tab w:val="left" w:pos="720"/>
              </w:tabs>
              <w:jc w:val="both"/>
              <w:rPr>
                <w:rFonts w:asciiTheme="minorHAnsi" w:hAnsiTheme="minorHAnsi" w:cstheme="minorHAnsi"/>
              </w:rPr>
            </w:pPr>
          </w:p>
          <w:p w14:paraId="2D180001" w14:textId="77777777" w:rsidR="00DE703E" w:rsidRPr="00DE703E" w:rsidRDefault="00DE703E" w:rsidP="00DE703E">
            <w:pPr>
              <w:jc w:val="both"/>
              <w:rPr>
                <w:rFonts w:asciiTheme="minorHAnsi" w:hAnsiTheme="minorHAnsi" w:cstheme="minorHAnsi"/>
                <w:i/>
                <w:iCs/>
              </w:rPr>
            </w:pPr>
            <w:r w:rsidRPr="00DE703E">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0CC4FCC2" w14:textId="77777777" w:rsidR="00DE703E" w:rsidRPr="00DE703E" w:rsidRDefault="00DE703E" w:rsidP="00DE703E">
            <w:pPr>
              <w:jc w:val="both"/>
              <w:rPr>
                <w:rFonts w:asciiTheme="minorHAnsi" w:hAnsiTheme="minorHAnsi" w:cstheme="minorHAnsi"/>
                <w:i/>
                <w:iCs/>
              </w:rPr>
            </w:pPr>
            <w:r w:rsidRPr="00DE703E">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7C216282" w14:textId="77777777" w:rsidR="00DE703E" w:rsidRPr="00DE703E" w:rsidRDefault="00DE703E" w:rsidP="00DE703E">
            <w:pPr>
              <w:jc w:val="both"/>
              <w:rPr>
                <w:rFonts w:asciiTheme="minorHAnsi" w:hAnsiTheme="minorHAnsi" w:cstheme="minorHAnsi"/>
                <w:i/>
                <w:iCs/>
              </w:rPr>
            </w:pPr>
            <w:r w:rsidRPr="00DE703E">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71716F20" w14:textId="77777777" w:rsidR="00DE703E" w:rsidRPr="00DE703E" w:rsidRDefault="00DE703E" w:rsidP="00406EBD">
            <w:pPr>
              <w:contextualSpacing/>
              <w:rPr>
                <w:rFonts w:asciiTheme="minorHAnsi" w:hAnsiTheme="minorHAnsi" w:cstheme="minorHAnsi"/>
              </w:rPr>
            </w:pPr>
          </w:p>
          <w:p w14:paraId="615088B2" w14:textId="634AF719" w:rsidR="009C1F22" w:rsidRDefault="00B4498D" w:rsidP="00406EBD">
            <w:pPr>
              <w:contextualSpacing/>
            </w:pPr>
            <w:r w:rsidRPr="00B4498D">
              <w:rPr>
                <w:rFonts w:asciiTheme="minorHAnsi" w:hAnsiTheme="minorHAnsi" w:cstheme="minorHAnsi"/>
              </w:rPr>
              <w:t>The existing porch at the dwelling is of flat roof construction. The proposed porch will feature of a pitched roof design. This is considered an improvement in respect of architectural detail. The proposed canopy will stretch across the new porch extension and ground floor window opening. The canopy itself is open sided and modest in respect of scale. The porch extension will be constructed in materials to match the existing being comprised of a re</w:t>
            </w:r>
            <w:r w:rsidR="00DE703E">
              <w:rPr>
                <w:rFonts w:asciiTheme="minorHAnsi" w:hAnsiTheme="minorHAnsi" w:cstheme="minorHAnsi"/>
              </w:rPr>
              <w:t>d</w:t>
            </w:r>
            <w:r w:rsidRPr="00B4498D">
              <w:rPr>
                <w:rFonts w:asciiTheme="minorHAnsi" w:hAnsiTheme="minorHAnsi" w:cstheme="minorHAnsi"/>
              </w:rPr>
              <w:t xml:space="preserve"> facing brick plinth, render elevations and uPVC windows and doors. This will integrate sufficiently into the application dwelling and wider street scene</w:t>
            </w:r>
            <w:r w:rsidR="00DE703E">
              <w:rPr>
                <w:rFonts w:asciiTheme="minorHAnsi" w:hAnsiTheme="minorHAnsi" w:cstheme="minorHAnsi"/>
              </w:rPr>
              <w:t xml:space="preserve"> without significantly altering the visual appearance of the dwelling. </w:t>
            </w:r>
          </w:p>
          <w:p w14:paraId="10A3648A" w14:textId="3DE81A4A" w:rsidR="00B4498D" w:rsidRPr="00065833" w:rsidRDefault="00B4498D" w:rsidP="00406EBD">
            <w:pPr>
              <w:contextualSpacing/>
            </w:pPr>
          </w:p>
        </w:tc>
      </w:tr>
      <w:tr w:rsidR="00824DB6" w:rsidRPr="00D2449B" w14:paraId="673C0DDB" w14:textId="77777777" w:rsidTr="00695FE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F6A2BA1" w14:textId="77777777" w:rsidR="00A74F22" w:rsidRPr="00E95743" w:rsidRDefault="00E95743" w:rsidP="009C1F22">
            <w:pPr>
              <w:pStyle w:val="Header"/>
              <w:tabs>
                <w:tab w:val="clear" w:pos="4153"/>
                <w:tab w:val="clear" w:pos="8306"/>
              </w:tabs>
              <w:contextualSpacing/>
              <w:jc w:val="both"/>
              <w:rPr>
                <w:rFonts w:ascii="Calibri" w:hAnsi="Calibri"/>
                <w:bCs/>
                <w:szCs w:val="22"/>
              </w:rPr>
            </w:pPr>
            <w:r w:rsidRPr="00E95743">
              <w:rPr>
                <w:rFonts w:ascii="Calibri" w:hAnsi="Calibri"/>
                <w:bCs/>
                <w:szCs w:val="22"/>
              </w:rPr>
              <w:t xml:space="preserve">No highways implications. </w:t>
            </w:r>
          </w:p>
          <w:p w14:paraId="337694ED" w14:textId="1DD55522" w:rsidR="00E95743" w:rsidRDefault="00E95743"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695FE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39F81980" w14:textId="38C53E96" w:rsidR="00AF2180" w:rsidRPr="00E95743" w:rsidRDefault="00E95743" w:rsidP="00406EBD">
            <w:pPr>
              <w:contextualSpacing/>
              <w:rPr>
                <w:rFonts w:ascii="Calibri" w:hAnsi="Calibri"/>
                <w:bCs/>
                <w:szCs w:val="22"/>
              </w:rPr>
            </w:pPr>
            <w:r w:rsidRPr="00E95743">
              <w:rPr>
                <w:rFonts w:ascii="Calibri" w:hAnsi="Calibri"/>
                <w:bCs/>
                <w:szCs w:val="22"/>
              </w:rPr>
              <w:t xml:space="preserve">No ecological constraints identified. </w:t>
            </w:r>
          </w:p>
          <w:p w14:paraId="6337C4D8" w14:textId="5586187E" w:rsidR="00E95743" w:rsidRDefault="00E95743" w:rsidP="00406EBD">
            <w:pPr>
              <w:contextualSpacing/>
              <w:rPr>
                <w:rFonts w:ascii="Calibri" w:hAnsi="Calibri"/>
                <w:b/>
                <w:szCs w:val="22"/>
              </w:rPr>
            </w:pPr>
          </w:p>
        </w:tc>
      </w:tr>
      <w:tr w:rsidR="00C0704D" w:rsidRPr="00D2449B" w14:paraId="0A9D02B4" w14:textId="77777777" w:rsidTr="00695FE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695FE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695FE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6599"/>
    <w:rsid w:val="00065833"/>
    <w:rsid w:val="000A6867"/>
    <w:rsid w:val="000B4890"/>
    <w:rsid w:val="000B5CB5"/>
    <w:rsid w:val="00130035"/>
    <w:rsid w:val="001C4716"/>
    <w:rsid w:val="001D4F7A"/>
    <w:rsid w:val="00250002"/>
    <w:rsid w:val="00250879"/>
    <w:rsid w:val="00282E3A"/>
    <w:rsid w:val="0029334A"/>
    <w:rsid w:val="002954E5"/>
    <w:rsid w:val="00295A61"/>
    <w:rsid w:val="002A01CF"/>
    <w:rsid w:val="002C5DEA"/>
    <w:rsid w:val="002C6277"/>
    <w:rsid w:val="002F2580"/>
    <w:rsid w:val="00321B6E"/>
    <w:rsid w:val="00375556"/>
    <w:rsid w:val="003C5B28"/>
    <w:rsid w:val="00406EBD"/>
    <w:rsid w:val="00440CB6"/>
    <w:rsid w:val="0046548C"/>
    <w:rsid w:val="004947BB"/>
    <w:rsid w:val="00497407"/>
    <w:rsid w:val="004A5EA9"/>
    <w:rsid w:val="004C2434"/>
    <w:rsid w:val="004E1D72"/>
    <w:rsid w:val="004F0649"/>
    <w:rsid w:val="00510FA2"/>
    <w:rsid w:val="00556ECD"/>
    <w:rsid w:val="0059215A"/>
    <w:rsid w:val="005E1C6C"/>
    <w:rsid w:val="005E65DF"/>
    <w:rsid w:val="005F1A36"/>
    <w:rsid w:val="00610DE6"/>
    <w:rsid w:val="00621FEA"/>
    <w:rsid w:val="00634656"/>
    <w:rsid w:val="00665D63"/>
    <w:rsid w:val="00692B60"/>
    <w:rsid w:val="00695FE5"/>
    <w:rsid w:val="00696B04"/>
    <w:rsid w:val="006A71AD"/>
    <w:rsid w:val="006B3337"/>
    <w:rsid w:val="006C2BFA"/>
    <w:rsid w:val="006F6849"/>
    <w:rsid w:val="0070054B"/>
    <w:rsid w:val="00761D2C"/>
    <w:rsid w:val="00773A66"/>
    <w:rsid w:val="00776AE2"/>
    <w:rsid w:val="007B3CB4"/>
    <w:rsid w:val="007C791C"/>
    <w:rsid w:val="007D0CEC"/>
    <w:rsid w:val="007D7DF4"/>
    <w:rsid w:val="007E0D23"/>
    <w:rsid w:val="007F16D6"/>
    <w:rsid w:val="00811771"/>
    <w:rsid w:val="00824DB6"/>
    <w:rsid w:val="00837F4F"/>
    <w:rsid w:val="008430D2"/>
    <w:rsid w:val="008542DE"/>
    <w:rsid w:val="00877C8F"/>
    <w:rsid w:val="008A28C8"/>
    <w:rsid w:val="008D26AB"/>
    <w:rsid w:val="008E5670"/>
    <w:rsid w:val="009A079A"/>
    <w:rsid w:val="009C1F22"/>
    <w:rsid w:val="009F4443"/>
    <w:rsid w:val="00A04A5C"/>
    <w:rsid w:val="00A21BAC"/>
    <w:rsid w:val="00A42E82"/>
    <w:rsid w:val="00A43CDE"/>
    <w:rsid w:val="00A579BB"/>
    <w:rsid w:val="00A63D55"/>
    <w:rsid w:val="00A74F22"/>
    <w:rsid w:val="00A95D89"/>
    <w:rsid w:val="00AF2180"/>
    <w:rsid w:val="00B4498D"/>
    <w:rsid w:val="00B5479B"/>
    <w:rsid w:val="00B93EB5"/>
    <w:rsid w:val="00BD3F03"/>
    <w:rsid w:val="00C0704D"/>
    <w:rsid w:val="00C25722"/>
    <w:rsid w:val="00C618DB"/>
    <w:rsid w:val="00D11007"/>
    <w:rsid w:val="00D17EB1"/>
    <w:rsid w:val="00D2449B"/>
    <w:rsid w:val="00D54E67"/>
    <w:rsid w:val="00DB1FA4"/>
    <w:rsid w:val="00DD3288"/>
    <w:rsid w:val="00DD62F6"/>
    <w:rsid w:val="00DE2534"/>
    <w:rsid w:val="00DE703E"/>
    <w:rsid w:val="00E46243"/>
    <w:rsid w:val="00E66534"/>
    <w:rsid w:val="00E70027"/>
    <w:rsid w:val="00E72F6C"/>
    <w:rsid w:val="00E95743"/>
    <w:rsid w:val="00EA09F9"/>
    <w:rsid w:val="00EC23C7"/>
    <w:rsid w:val="00EC407A"/>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2024-08-19T09:46:00Z</dcterms:created>
  <dcterms:modified xsi:type="dcterms:W3CDTF">2024-08-19T09:46:00Z</dcterms:modified>
</cp:coreProperties>
</file>