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091B23B8" w:rsidR="004A5EA9" w:rsidRPr="00D2449B" w:rsidRDefault="00446E89" w:rsidP="00D2449B">
            <w:pPr>
              <w:jc w:val="center"/>
              <w:rPr>
                <w:rFonts w:ascii="Calibri" w:hAnsi="Calibri"/>
                <w:b/>
                <w:szCs w:val="22"/>
              </w:rPr>
            </w:pPr>
            <w:r>
              <w:rPr>
                <w:rFonts w:ascii="Calibri" w:hAnsi="Calibri"/>
                <w:b/>
                <w:szCs w:val="22"/>
              </w:rPr>
              <w:t xml:space="preserve">   </w:t>
            </w:r>
            <w:r w:rsidR="00D2449B"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2620E3" w:rsidR="00837F4F" w:rsidRPr="00D2449B" w:rsidRDefault="00440824" w:rsidP="00D2449B">
            <w:pPr>
              <w:jc w:val="center"/>
              <w:rPr>
                <w:rFonts w:ascii="Calibri" w:hAnsi="Calibri"/>
                <w:b/>
                <w:szCs w:val="22"/>
              </w:rPr>
            </w:pPr>
            <w:r>
              <w:rPr>
                <w:rFonts w:ascii="Calibri" w:hAnsi="Calibri"/>
                <w:b/>
                <w:szCs w:val="22"/>
              </w:rPr>
              <w:t>2</w:t>
            </w:r>
            <w:r w:rsidR="00B326FE">
              <w:rPr>
                <w:rFonts w:ascii="Calibri" w:hAnsi="Calibri"/>
                <w:b/>
                <w:szCs w:val="22"/>
              </w:rPr>
              <w:t>2</w:t>
            </w:r>
            <w:r>
              <w:rPr>
                <w:rFonts w:ascii="Calibri" w:hAnsi="Calibri"/>
                <w:b/>
                <w:szCs w:val="22"/>
              </w:rPr>
              <w:t>.0</w:t>
            </w:r>
            <w:r w:rsidR="00B326FE">
              <w:rPr>
                <w:rFonts w:ascii="Calibri" w:hAnsi="Calibri"/>
                <w:b/>
                <w:szCs w:val="22"/>
              </w:rPr>
              <w:t>8</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E5D1E16" w:rsidR="00837F4F" w:rsidRPr="00D2449B" w:rsidRDefault="00121F0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582F876" w:rsidR="00837F4F" w:rsidRPr="00D2449B" w:rsidRDefault="00121F0D" w:rsidP="00D2449B">
            <w:pPr>
              <w:jc w:val="center"/>
              <w:rPr>
                <w:rFonts w:ascii="Calibri" w:hAnsi="Calibri"/>
                <w:b/>
                <w:szCs w:val="22"/>
              </w:rPr>
            </w:pPr>
            <w:r>
              <w:rPr>
                <w:rFonts w:ascii="Calibri" w:hAnsi="Calibri"/>
                <w:b/>
                <w:szCs w:val="22"/>
              </w:rPr>
              <w:t>22/8/24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7DC0DA"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AB0FF7">
              <w:rPr>
                <w:rFonts w:ascii="Calibri" w:hAnsi="Calibri"/>
                <w:szCs w:val="22"/>
              </w:rPr>
              <w:t>560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7A55E7" w:rsidR="00824DB6" w:rsidRPr="00C0704D" w:rsidRDefault="00AB0FF7" w:rsidP="002C6277">
            <w:pPr>
              <w:rPr>
                <w:rFonts w:ascii="Calibri" w:hAnsi="Calibri"/>
                <w:szCs w:val="22"/>
              </w:rPr>
            </w:pPr>
            <w:r>
              <w:rPr>
                <w:rFonts w:ascii="Calibri" w:hAnsi="Calibri"/>
                <w:szCs w:val="22"/>
              </w:rPr>
              <w:t>01/08/24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4BA3D1B" w:rsidR="00824DB6" w:rsidRPr="0069545C" w:rsidRDefault="00AB0FF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FAA890" w:rsidR="004A5EA9" w:rsidRPr="002C6277" w:rsidRDefault="00AB0FF7" w:rsidP="0069545C">
            <w:pPr>
              <w:jc w:val="both"/>
              <w:rPr>
                <w:rFonts w:ascii="Calibri" w:hAnsi="Calibri"/>
                <w:szCs w:val="22"/>
              </w:rPr>
            </w:pPr>
            <w:r w:rsidRPr="00AB0FF7">
              <w:rPr>
                <w:rFonts w:ascii="Lato" w:hAnsi="Lato"/>
                <w:color w:val="333333"/>
                <w:sz w:val="20"/>
                <w:shd w:val="clear" w:color="auto" w:fill="FFFFFF"/>
              </w:rPr>
              <w:t>Proposed change of use from drinking establishment (sui generis) to Travel Agency (Use class 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033A63" w:rsidR="002A01CF" w:rsidRPr="002C6277" w:rsidRDefault="00AB0FF7" w:rsidP="00A42E82">
            <w:pPr>
              <w:rPr>
                <w:rFonts w:ascii="Calibri" w:hAnsi="Calibri"/>
                <w:szCs w:val="22"/>
              </w:rPr>
            </w:pPr>
            <w:r w:rsidRPr="00AB0FF7">
              <w:rPr>
                <w:rFonts w:ascii="Calibri" w:hAnsi="Calibri"/>
                <w:szCs w:val="22"/>
              </w:rPr>
              <w:t>36 King Street Clitheroe BB7 2EU</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0150F0" w:rsidR="00440824" w:rsidRPr="00440824" w:rsidRDefault="00AB0FF7" w:rsidP="003E4F9F">
            <w:pPr>
              <w:contextualSpacing/>
              <w:jc w:val="both"/>
              <w:rPr>
                <w:rFonts w:ascii="Calibri" w:hAnsi="Calibri"/>
                <w:bCs/>
                <w:szCs w:val="22"/>
              </w:rPr>
            </w:pPr>
            <w:r>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6E5DE7D9" w:rsidR="001C3CC8" w:rsidRPr="001C3CC8" w:rsidRDefault="00AB0FF7">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1C3CC8" w:rsidRPr="00D2449B" w14:paraId="384A7229" w14:textId="77777777" w:rsidTr="009329E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67DB06" w14:textId="444FBC3D" w:rsidR="00440824" w:rsidRPr="00AB0FF7" w:rsidRDefault="00AB0FF7" w:rsidP="00AB0FF7">
            <w:pPr>
              <w:jc w:val="both"/>
              <w:rPr>
                <w:rFonts w:asciiTheme="minorHAnsi" w:hAnsiTheme="minorHAnsi" w:cstheme="minorHAnsi"/>
                <w:bCs/>
                <w:i/>
                <w:iCs/>
              </w:rPr>
            </w:pPr>
            <w:r>
              <w:rPr>
                <w:rFonts w:ascii="Calibri" w:hAnsi="Calibri"/>
                <w:bCs/>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E5339C" w:rsidR="00CA7986" w:rsidRPr="00C0704D" w:rsidRDefault="00AB0FF7" w:rsidP="00692B60">
            <w:pPr>
              <w:rPr>
                <w:rFonts w:ascii="Calibri" w:hAnsi="Calibri"/>
                <w:szCs w:val="22"/>
              </w:rPr>
            </w:pPr>
            <w:r>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08C8CF" w14:textId="77777777" w:rsidR="00D15787" w:rsidRPr="00D2449B" w:rsidRDefault="00D15787" w:rsidP="00D15787">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F0CB8CB" w14:textId="77777777" w:rsidR="00D15787" w:rsidRDefault="00D15787" w:rsidP="00D15787">
            <w:pPr>
              <w:rPr>
                <w:rFonts w:ascii="Calibri" w:hAnsi="Calibri"/>
                <w:b/>
                <w:szCs w:val="22"/>
              </w:rPr>
            </w:pPr>
          </w:p>
          <w:p w14:paraId="761A0681" w14:textId="77777777" w:rsidR="00D15787" w:rsidRPr="00C618DB" w:rsidRDefault="00D15787" w:rsidP="00D15787">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5F787CFF" w14:textId="77777777" w:rsidR="00D15787" w:rsidRDefault="00D15787" w:rsidP="00D15787">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BA52B01" w14:textId="77777777" w:rsidR="00D15787" w:rsidRDefault="00D15787" w:rsidP="00D15787">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0D2679B2" w14:textId="77777777" w:rsidR="00D15787" w:rsidRDefault="00D15787" w:rsidP="00D15787">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18175F1C" w14:textId="77777777" w:rsidR="00D15787" w:rsidRDefault="00D15787" w:rsidP="00D1578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1C77B046" w14:textId="77777777" w:rsidR="00D15787" w:rsidRDefault="00D15787" w:rsidP="00D1578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36B2313E" w14:textId="77777777" w:rsidR="00D15787" w:rsidRPr="00C618DB" w:rsidRDefault="00D15787" w:rsidP="00D15787">
            <w:pPr>
              <w:pStyle w:val="PLANNING"/>
              <w:rPr>
                <w:rFonts w:ascii="Calibri" w:hAnsi="Calibri"/>
                <w:szCs w:val="22"/>
              </w:rPr>
            </w:pPr>
          </w:p>
          <w:p w14:paraId="6D17D9C2" w14:textId="77777777" w:rsidR="00D15787" w:rsidRPr="00C618DB" w:rsidRDefault="00D15787" w:rsidP="00D15787">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709D732" w14:textId="77777777" w:rsidR="00D15787" w:rsidRPr="00C618DB" w:rsidRDefault="00D15787" w:rsidP="00D15787">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916C68" w14:textId="77777777" w:rsidR="00D15787" w:rsidRPr="00C618DB" w:rsidRDefault="00D15787" w:rsidP="00D15787">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CAE910B" w14:textId="77777777" w:rsidR="00D15787" w:rsidRDefault="00D15787" w:rsidP="00D1578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D4785D2" w14:textId="77777777" w:rsidR="00D15787" w:rsidRDefault="00D15787" w:rsidP="00D15787">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4B2BAB29" w14:textId="21E2A8AA" w:rsidR="00AB0FF7" w:rsidRDefault="00AB0FF7" w:rsidP="00D15787">
            <w:pPr>
              <w:pStyle w:val="PLANNING"/>
              <w:rPr>
                <w:rFonts w:ascii="Calibri" w:hAnsi="Calibri"/>
                <w:szCs w:val="22"/>
              </w:rPr>
            </w:pPr>
            <w:r>
              <w:rPr>
                <w:rFonts w:ascii="Calibri" w:hAnsi="Calibri"/>
                <w:szCs w:val="22"/>
              </w:rPr>
              <w:t>Policy DMR1:</w:t>
            </w:r>
            <w:r>
              <w:rPr>
                <w:rFonts w:ascii="Calibri" w:hAnsi="Calibri"/>
                <w:szCs w:val="22"/>
              </w:rPr>
              <w:tab/>
              <w:t xml:space="preserve">Retail Development in Clitheroe </w:t>
            </w:r>
          </w:p>
          <w:p w14:paraId="5538C61E" w14:textId="77777777" w:rsidR="00AB0FF7" w:rsidRDefault="00AB0FF7" w:rsidP="00D15787">
            <w:pPr>
              <w:pStyle w:val="PLANNING"/>
              <w:rPr>
                <w:rFonts w:ascii="Calibri" w:hAnsi="Calibri"/>
                <w:szCs w:val="22"/>
              </w:rPr>
            </w:pPr>
          </w:p>
          <w:p w14:paraId="035379B7" w14:textId="77777777" w:rsidR="00D15787" w:rsidRPr="00C618DB" w:rsidRDefault="00D15787" w:rsidP="00D15787">
            <w:pPr>
              <w:pStyle w:val="PLANNING"/>
              <w:rPr>
                <w:rFonts w:ascii="Calibri" w:hAnsi="Calibri"/>
                <w:szCs w:val="22"/>
              </w:rPr>
            </w:pPr>
            <w:r w:rsidRPr="00D11007">
              <w:rPr>
                <w:rFonts w:ascii="Calibri" w:hAnsi="Calibri"/>
                <w:szCs w:val="22"/>
              </w:rPr>
              <w:t>Planning (Listed Buildings and Conservation Areas) Act</w:t>
            </w:r>
          </w:p>
          <w:p w14:paraId="347114BC" w14:textId="77777777" w:rsidR="00D15787" w:rsidRDefault="00D15787" w:rsidP="00D15787">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5649670" w:rsidR="0046548C" w:rsidRDefault="00AA5464" w:rsidP="00C0704D">
            <w:pPr>
              <w:pStyle w:val="PLANNING"/>
              <w:rPr>
                <w:rFonts w:ascii="Calibri" w:hAnsi="Calibri"/>
                <w:b/>
                <w:bCs/>
                <w:szCs w:val="22"/>
              </w:rPr>
            </w:pPr>
            <w:r w:rsidRPr="00AA5464">
              <w:rPr>
                <w:rFonts w:ascii="Calibri" w:hAnsi="Calibri"/>
                <w:b/>
                <w:bCs/>
                <w:szCs w:val="22"/>
              </w:rPr>
              <w:t>20</w:t>
            </w:r>
            <w:r w:rsidR="001C3CC8">
              <w:rPr>
                <w:rFonts w:ascii="Calibri" w:hAnsi="Calibri"/>
                <w:b/>
                <w:bCs/>
                <w:szCs w:val="22"/>
              </w:rPr>
              <w:t>2</w:t>
            </w:r>
            <w:r w:rsidR="00AB0FF7">
              <w:rPr>
                <w:rFonts w:ascii="Calibri" w:hAnsi="Calibri"/>
                <w:b/>
                <w:bCs/>
                <w:szCs w:val="22"/>
              </w:rPr>
              <w:t>1</w:t>
            </w:r>
            <w:r w:rsidRPr="00AA5464">
              <w:rPr>
                <w:rFonts w:ascii="Calibri" w:hAnsi="Calibri"/>
                <w:b/>
                <w:bCs/>
                <w:szCs w:val="22"/>
              </w:rPr>
              <w:t>/0</w:t>
            </w:r>
            <w:r w:rsidR="00D15787">
              <w:rPr>
                <w:rFonts w:ascii="Calibri" w:hAnsi="Calibri"/>
                <w:b/>
                <w:bCs/>
                <w:szCs w:val="22"/>
              </w:rPr>
              <w:t>2</w:t>
            </w:r>
            <w:r w:rsidR="00AB0FF7">
              <w:rPr>
                <w:rFonts w:ascii="Calibri" w:hAnsi="Calibri"/>
                <w:b/>
                <w:bCs/>
                <w:szCs w:val="22"/>
              </w:rPr>
              <w:t>20:</w:t>
            </w:r>
          </w:p>
          <w:p w14:paraId="7ED08269" w14:textId="0E7FDBE0" w:rsidR="00AB0FF7" w:rsidRPr="00AB0FF7" w:rsidRDefault="00AB0FF7" w:rsidP="00C0704D">
            <w:pPr>
              <w:pStyle w:val="PLANNING"/>
              <w:rPr>
                <w:rFonts w:ascii="Calibri" w:hAnsi="Calibri"/>
                <w:szCs w:val="22"/>
              </w:rPr>
            </w:pPr>
            <w:r w:rsidRPr="00AB0FF7">
              <w:rPr>
                <w:rFonts w:ascii="Calibri" w:hAnsi="Calibri"/>
                <w:szCs w:val="22"/>
              </w:rPr>
              <w:t>Replacement roof to the same specification as the existing. (Approved)</w:t>
            </w:r>
          </w:p>
          <w:p w14:paraId="4DD4CFD6" w14:textId="77777777" w:rsidR="00AB0FF7" w:rsidRDefault="00AB0FF7" w:rsidP="00C0704D">
            <w:pPr>
              <w:pStyle w:val="PLANNING"/>
              <w:rPr>
                <w:rFonts w:ascii="Calibri" w:hAnsi="Calibri"/>
                <w:b/>
                <w:bCs/>
                <w:szCs w:val="22"/>
              </w:rPr>
            </w:pPr>
          </w:p>
          <w:p w14:paraId="4DC1BD00" w14:textId="03170B53" w:rsidR="00AB0FF7" w:rsidRDefault="00AB0FF7" w:rsidP="00C0704D">
            <w:pPr>
              <w:pStyle w:val="PLANNING"/>
              <w:rPr>
                <w:rFonts w:ascii="Calibri" w:hAnsi="Calibri"/>
                <w:b/>
                <w:bCs/>
                <w:szCs w:val="22"/>
              </w:rPr>
            </w:pPr>
            <w:r>
              <w:rPr>
                <w:rFonts w:ascii="Calibri" w:hAnsi="Calibri"/>
                <w:b/>
                <w:bCs/>
                <w:szCs w:val="22"/>
              </w:rPr>
              <w:t>2020/0714:</w:t>
            </w:r>
          </w:p>
          <w:p w14:paraId="07D804D5" w14:textId="4D266339" w:rsidR="00AB0FF7" w:rsidRPr="00AB0FF7" w:rsidRDefault="00AB0FF7" w:rsidP="00C0704D">
            <w:pPr>
              <w:pStyle w:val="PLANNING"/>
              <w:rPr>
                <w:rFonts w:ascii="Calibri" w:hAnsi="Calibri"/>
                <w:szCs w:val="22"/>
              </w:rPr>
            </w:pPr>
            <w:r w:rsidRPr="00AB0FF7">
              <w:rPr>
                <w:rFonts w:ascii="Calibri" w:hAnsi="Calibri"/>
                <w:szCs w:val="22"/>
              </w:rPr>
              <w:lastRenderedPageBreak/>
              <w:t>Change of use from shoe shop (A1) to a European-style wine and craft beer bar serving small snack plates tapas style (A4). Opening hours Sunday to Thursday 11:00 to 22:00 and Friday and Saturday 11:00 to 23:00.  (Approved)</w:t>
            </w:r>
          </w:p>
          <w:p w14:paraId="51C3C247" w14:textId="77777777" w:rsidR="00AB0FF7" w:rsidRDefault="00AB0FF7" w:rsidP="00C0704D">
            <w:pPr>
              <w:pStyle w:val="PLANNING"/>
              <w:rPr>
                <w:rFonts w:ascii="Calibri" w:hAnsi="Calibri"/>
                <w:b/>
                <w:bCs/>
                <w:szCs w:val="22"/>
              </w:rPr>
            </w:pPr>
          </w:p>
          <w:p w14:paraId="65E9965E" w14:textId="581F06C9" w:rsidR="00AB0FF7" w:rsidRDefault="00AB0FF7" w:rsidP="00C0704D">
            <w:pPr>
              <w:pStyle w:val="PLANNING"/>
              <w:rPr>
                <w:rFonts w:ascii="Calibri" w:hAnsi="Calibri"/>
                <w:b/>
                <w:bCs/>
                <w:szCs w:val="22"/>
              </w:rPr>
            </w:pPr>
            <w:r>
              <w:rPr>
                <w:rFonts w:ascii="Calibri" w:hAnsi="Calibri"/>
                <w:b/>
                <w:bCs/>
                <w:szCs w:val="22"/>
              </w:rPr>
              <w:t>2010/0890:</w:t>
            </w:r>
          </w:p>
          <w:p w14:paraId="68E539E8" w14:textId="442D4BCE" w:rsidR="00AB0FF7" w:rsidRPr="00AB0FF7" w:rsidRDefault="00AB0FF7" w:rsidP="00C0704D">
            <w:pPr>
              <w:pStyle w:val="PLANNING"/>
              <w:rPr>
                <w:rFonts w:ascii="Calibri" w:hAnsi="Calibri"/>
                <w:szCs w:val="22"/>
              </w:rPr>
            </w:pPr>
            <w:r w:rsidRPr="00AB0FF7">
              <w:rPr>
                <w:rFonts w:ascii="Calibri" w:hAnsi="Calibri"/>
                <w:szCs w:val="22"/>
              </w:rPr>
              <w:t>Change of use to first floor from storage (B8) to retail (A1).  (Approved)</w:t>
            </w:r>
          </w:p>
          <w:p w14:paraId="0FAF3CD6" w14:textId="52BD116F" w:rsidR="00AB0FF7" w:rsidRDefault="00AB0FF7" w:rsidP="00C0704D">
            <w:pPr>
              <w:pStyle w:val="PLANNING"/>
              <w:rPr>
                <w:rFonts w:ascii="Calibri" w:hAnsi="Calibri"/>
                <w:b/>
                <w:bCs/>
                <w:szCs w:val="22"/>
              </w:rPr>
            </w:pPr>
          </w:p>
          <w:p w14:paraId="0E843534" w14:textId="24CB8950" w:rsidR="00AB0FF7" w:rsidRDefault="00AB0FF7" w:rsidP="00C0704D">
            <w:pPr>
              <w:pStyle w:val="PLANNING"/>
              <w:rPr>
                <w:rFonts w:ascii="Calibri" w:hAnsi="Calibri"/>
                <w:b/>
                <w:bCs/>
                <w:szCs w:val="22"/>
              </w:rPr>
            </w:pPr>
            <w:r>
              <w:rPr>
                <w:rFonts w:ascii="Calibri" w:hAnsi="Calibri"/>
                <w:b/>
                <w:bCs/>
                <w:szCs w:val="22"/>
              </w:rPr>
              <w:t>2005/0156:</w:t>
            </w:r>
          </w:p>
          <w:p w14:paraId="63954189" w14:textId="5B7965FC" w:rsidR="00D15787" w:rsidRPr="00AB0FF7" w:rsidRDefault="00AB0FF7" w:rsidP="00AB0FF7">
            <w:pPr>
              <w:pStyle w:val="PLANNING"/>
              <w:rPr>
                <w:rFonts w:ascii="Calibri" w:hAnsi="Calibri"/>
                <w:szCs w:val="22"/>
              </w:rPr>
            </w:pPr>
            <w:r w:rsidRPr="00AB0FF7">
              <w:rPr>
                <w:rFonts w:ascii="Calibri" w:hAnsi="Calibri"/>
                <w:szCs w:val="22"/>
              </w:rPr>
              <w:t>Galvanised steel spiral staircase to first floor, rear of building on to back of King Street.  (Approved)</w:t>
            </w:r>
          </w:p>
          <w:p w14:paraId="17147D50" w14:textId="13DA624E" w:rsidR="00AB0FF7" w:rsidRPr="00D2449B" w:rsidRDefault="00AB0FF7" w:rsidP="00AB0FF7">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C0958AE" w14:textId="77777777" w:rsidR="00A10496" w:rsidRDefault="006617C9" w:rsidP="00B93EB5">
            <w:pPr>
              <w:pStyle w:val="Header"/>
              <w:tabs>
                <w:tab w:val="clear" w:pos="4153"/>
                <w:tab w:val="clear" w:pos="8306"/>
              </w:tabs>
              <w:contextualSpacing/>
              <w:jc w:val="both"/>
              <w:rPr>
                <w:rFonts w:ascii="Calibri" w:hAnsi="Calibri"/>
                <w:bCs/>
                <w:szCs w:val="22"/>
              </w:rPr>
            </w:pPr>
            <w:r w:rsidRPr="00CF0564">
              <w:rPr>
                <w:rFonts w:ascii="Calibri" w:hAnsi="Calibri"/>
                <w:bCs/>
                <w:szCs w:val="22"/>
              </w:rPr>
              <w:t xml:space="preserve">The application relates </w:t>
            </w:r>
            <w:r w:rsidR="00A628AE" w:rsidRPr="00CF0564">
              <w:rPr>
                <w:rFonts w:ascii="Calibri" w:hAnsi="Calibri"/>
                <w:bCs/>
                <w:szCs w:val="22"/>
              </w:rPr>
              <w:t xml:space="preserve">to </w:t>
            </w:r>
            <w:r w:rsidR="00471172" w:rsidRPr="00CF0564">
              <w:rPr>
                <w:rFonts w:ascii="Calibri" w:hAnsi="Calibri"/>
                <w:bCs/>
                <w:szCs w:val="22"/>
              </w:rPr>
              <w:t>3</w:t>
            </w:r>
            <w:r w:rsidR="00CF0564" w:rsidRPr="00CF0564">
              <w:rPr>
                <w:rFonts w:ascii="Calibri" w:hAnsi="Calibri"/>
                <w:bCs/>
                <w:szCs w:val="22"/>
              </w:rPr>
              <w:t>6</w:t>
            </w:r>
            <w:r w:rsidR="00471172" w:rsidRPr="00CF0564">
              <w:rPr>
                <w:rFonts w:ascii="Calibri" w:hAnsi="Calibri"/>
                <w:bCs/>
                <w:szCs w:val="22"/>
              </w:rPr>
              <w:t xml:space="preserve"> King Street </w:t>
            </w:r>
            <w:r w:rsidR="00CF0564" w:rsidRPr="00CF0564">
              <w:rPr>
                <w:rFonts w:ascii="Calibri" w:hAnsi="Calibri"/>
                <w:bCs/>
                <w:szCs w:val="22"/>
              </w:rPr>
              <w:t>Clitheroe</w:t>
            </w:r>
            <w:r w:rsidR="00471172" w:rsidRPr="00CF0564">
              <w:rPr>
                <w:rFonts w:ascii="Calibri" w:hAnsi="Calibri"/>
                <w:bCs/>
                <w:szCs w:val="22"/>
              </w:rPr>
              <w:t>.</w:t>
            </w:r>
            <w:r w:rsidR="002B10D5" w:rsidRPr="00CF0564">
              <w:rPr>
                <w:rFonts w:ascii="Calibri" w:hAnsi="Calibri"/>
                <w:bCs/>
                <w:szCs w:val="22"/>
              </w:rPr>
              <w:t xml:space="preserve"> </w:t>
            </w:r>
            <w:r w:rsidR="001211AA" w:rsidRPr="00CF0564">
              <w:rPr>
                <w:rFonts w:ascii="Calibri" w:hAnsi="Calibri"/>
                <w:bCs/>
                <w:szCs w:val="22"/>
              </w:rPr>
              <w:t xml:space="preserve">The building is </w:t>
            </w:r>
            <w:r w:rsidR="00471172" w:rsidRPr="00CF0564">
              <w:rPr>
                <w:rFonts w:ascii="Calibri" w:hAnsi="Calibri"/>
                <w:bCs/>
                <w:szCs w:val="22"/>
              </w:rPr>
              <w:t xml:space="preserve">a two-storey mid-terrace commercial premises located </w:t>
            </w:r>
            <w:r w:rsidR="001211AA" w:rsidRPr="00CF0564">
              <w:rPr>
                <w:rFonts w:ascii="Calibri" w:hAnsi="Calibri"/>
                <w:bCs/>
                <w:szCs w:val="22"/>
              </w:rPr>
              <w:t xml:space="preserve">within the Designated </w:t>
            </w:r>
            <w:r w:rsidR="00CF0564" w:rsidRPr="00CF0564">
              <w:rPr>
                <w:rFonts w:ascii="Calibri" w:hAnsi="Calibri"/>
                <w:bCs/>
                <w:szCs w:val="22"/>
              </w:rPr>
              <w:t>Clitheroe</w:t>
            </w:r>
            <w:r w:rsidR="001211AA" w:rsidRPr="00CF0564">
              <w:rPr>
                <w:rFonts w:ascii="Calibri" w:hAnsi="Calibri"/>
                <w:bCs/>
                <w:szCs w:val="22"/>
              </w:rPr>
              <w:t xml:space="preserve"> Conservation Area</w:t>
            </w:r>
            <w:r w:rsidR="00471172" w:rsidRPr="00CF0564">
              <w:rPr>
                <w:rFonts w:ascii="Calibri" w:hAnsi="Calibri"/>
                <w:bCs/>
                <w:szCs w:val="22"/>
              </w:rPr>
              <w:t>, also being within the defined Main Centre Boundary of the settlement</w:t>
            </w:r>
            <w:r w:rsidR="00CF0564">
              <w:rPr>
                <w:rFonts w:ascii="Calibri" w:hAnsi="Calibri"/>
                <w:bCs/>
                <w:szCs w:val="22"/>
              </w:rPr>
              <w:t xml:space="preserve"> and being defined as a Building of Townscape Merit within the Clitheroe </w:t>
            </w:r>
            <w:r w:rsidR="00A10496">
              <w:rPr>
                <w:rFonts w:ascii="Calibri" w:hAnsi="Calibri"/>
                <w:bCs/>
                <w:szCs w:val="22"/>
              </w:rPr>
              <w:t>Conservation Area Appraisal</w:t>
            </w:r>
            <w:r w:rsidR="00471172" w:rsidRPr="00CF0564">
              <w:rPr>
                <w:rFonts w:ascii="Calibri" w:hAnsi="Calibri"/>
                <w:bCs/>
                <w:szCs w:val="22"/>
              </w:rPr>
              <w:t xml:space="preserve">.  </w:t>
            </w:r>
          </w:p>
          <w:p w14:paraId="367FF27B" w14:textId="77777777" w:rsidR="00A10496" w:rsidRDefault="00A10496" w:rsidP="00B93EB5">
            <w:pPr>
              <w:pStyle w:val="Header"/>
              <w:tabs>
                <w:tab w:val="clear" w:pos="4153"/>
                <w:tab w:val="clear" w:pos="8306"/>
              </w:tabs>
              <w:contextualSpacing/>
              <w:jc w:val="both"/>
              <w:rPr>
                <w:rFonts w:ascii="Calibri" w:hAnsi="Calibri"/>
                <w:bCs/>
                <w:szCs w:val="22"/>
              </w:rPr>
            </w:pPr>
          </w:p>
          <w:p w14:paraId="12CFF819" w14:textId="0D9C0BDE" w:rsidR="00471172" w:rsidRPr="00AB0FF7" w:rsidRDefault="00471172" w:rsidP="00B93EB5">
            <w:pPr>
              <w:pStyle w:val="Header"/>
              <w:tabs>
                <w:tab w:val="clear" w:pos="4153"/>
                <w:tab w:val="clear" w:pos="8306"/>
              </w:tabs>
              <w:contextualSpacing/>
              <w:jc w:val="both"/>
              <w:rPr>
                <w:rFonts w:ascii="Calibri" w:hAnsi="Calibri"/>
                <w:bCs/>
                <w:color w:val="FF0000"/>
                <w:szCs w:val="22"/>
              </w:rPr>
            </w:pPr>
            <w:r w:rsidRPr="00CF0564">
              <w:rPr>
                <w:rFonts w:ascii="Calibri" w:hAnsi="Calibri"/>
                <w:bCs/>
                <w:szCs w:val="22"/>
              </w:rPr>
              <w:t xml:space="preserve">The immediate surrounding area is characterised by a range of commercial </w:t>
            </w:r>
            <w:r w:rsidR="00CF0564" w:rsidRPr="00CF0564">
              <w:rPr>
                <w:rFonts w:ascii="Calibri" w:hAnsi="Calibri"/>
                <w:bCs/>
                <w:szCs w:val="22"/>
              </w:rPr>
              <w:t xml:space="preserve">town centre </w:t>
            </w:r>
            <w:r w:rsidRPr="00CF0564">
              <w:rPr>
                <w:rFonts w:ascii="Calibri" w:hAnsi="Calibri"/>
                <w:bCs/>
                <w:szCs w:val="22"/>
              </w:rPr>
              <w:t>uses commensurate with th</w:t>
            </w:r>
            <w:r w:rsidR="00282260" w:rsidRPr="00CF0564">
              <w:rPr>
                <w:rFonts w:ascii="Calibri" w:hAnsi="Calibri"/>
                <w:bCs/>
                <w:szCs w:val="22"/>
              </w:rPr>
              <w:t xml:space="preserve">ose typically found within the </w:t>
            </w:r>
            <w:r w:rsidR="00CF0564" w:rsidRPr="00CF0564">
              <w:rPr>
                <w:rFonts w:ascii="Calibri" w:hAnsi="Calibri"/>
                <w:bCs/>
                <w:szCs w:val="22"/>
              </w:rPr>
              <w:t>main central area of a principal settlement.</w:t>
            </w:r>
          </w:p>
          <w:p w14:paraId="62370E9F" w14:textId="0DD23507" w:rsidR="0019713D" w:rsidRPr="006C2BFA" w:rsidRDefault="0019713D" w:rsidP="00C54589">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A325A" w:rsidRDefault="00C0704D" w:rsidP="00440CB6">
            <w:pPr>
              <w:pStyle w:val="Header"/>
              <w:tabs>
                <w:tab w:val="clear" w:pos="4153"/>
                <w:tab w:val="clear" w:pos="8306"/>
              </w:tabs>
              <w:jc w:val="both"/>
              <w:rPr>
                <w:rFonts w:ascii="Calibri" w:hAnsi="Calibri"/>
                <w:b/>
                <w:szCs w:val="22"/>
              </w:rPr>
            </w:pPr>
            <w:r w:rsidRPr="002A325A">
              <w:rPr>
                <w:rFonts w:ascii="Calibri" w:hAnsi="Calibri"/>
                <w:b/>
                <w:szCs w:val="22"/>
              </w:rPr>
              <w:t>Proposed Development for which consent is sought:</w:t>
            </w:r>
          </w:p>
          <w:p w14:paraId="7C8F28E1" w14:textId="77777777" w:rsidR="00C0704D" w:rsidRPr="00D05B4D" w:rsidRDefault="00C0704D" w:rsidP="00440CB6">
            <w:pPr>
              <w:pStyle w:val="Header"/>
              <w:tabs>
                <w:tab w:val="clear" w:pos="4153"/>
                <w:tab w:val="clear" w:pos="8306"/>
              </w:tabs>
              <w:jc w:val="both"/>
              <w:rPr>
                <w:rFonts w:ascii="Calibri" w:hAnsi="Calibri"/>
                <w:b/>
                <w:szCs w:val="22"/>
              </w:rPr>
            </w:pPr>
          </w:p>
          <w:p w14:paraId="7B568497" w14:textId="2E9ECA07" w:rsidR="000D2A45" w:rsidRPr="00CF0564" w:rsidRDefault="00324056" w:rsidP="008C4F64">
            <w:pPr>
              <w:jc w:val="both"/>
              <w:rPr>
                <w:rFonts w:ascii="Calibri" w:hAnsi="Calibri"/>
                <w:b/>
                <w:bCs/>
                <w:szCs w:val="22"/>
              </w:rPr>
            </w:pPr>
            <w:r w:rsidRPr="00CF0564">
              <w:rPr>
                <w:rFonts w:ascii="Calibri" w:hAnsi="Calibri"/>
                <w:szCs w:val="22"/>
              </w:rPr>
              <w:t>The application</w:t>
            </w:r>
            <w:r w:rsidR="000D2A45" w:rsidRPr="00CF0564">
              <w:rPr>
                <w:rFonts w:ascii="Calibri" w:hAnsi="Calibri"/>
                <w:szCs w:val="22"/>
              </w:rPr>
              <w:t xml:space="preserve"> </w:t>
            </w:r>
            <w:r w:rsidRPr="00CF0564">
              <w:rPr>
                <w:rFonts w:ascii="Calibri" w:hAnsi="Calibri"/>
                <w:szCs w:val="22"/>
              </w:rPr>
              <w:t xml:space="preserve">seeks </w:t>
            </w:r>
            <w:r w:rsidR="008D3699" w:rsidRPr="00CF0564">
              <w:rPr>
                <w:rFonts w:ascii="Calibri" w:hAnsi="Calibri"/>
                <w:szCs w:val="22"/>
              </w:rPr>
              <w:t>consent</w:t>
            </w:r>
            <w:r w:rsidR="00282260" w:rsidRPr="00CF0564">
              <w:rPr>
                <w:rFonts w:ascii="Calibri" w:hAnsi="Calibri"/>
                <w:szCs w:val="22"/>
              </w:rPr>
              <w:t xml:space="preserve"> for a change of use </w:t>
            </w:r>
            <w:r w:rsidR="00CF0564" w:rsidRPr="00CF0564">
              <w:rPr>
                <w:rFonts w:ascii="Calibri" w:hAnsi="Calibri"/>
                <w:szCs w:val="22"/>
              </w:rPr>
              <w:t>of the building from that of an existing drinking establishment (Sui generis) to that of a Travel Agency (</w:t>
            </w:r>
            <w:r w:rsidR="00CF0564">
              <w:rPr>
                <w:rFonts w:ascii="Calibri" w:hAnsi="Calibri"/>
                <w:szCs w:val="22"/>
              </w:rPr>
              <w:t>C</w:t>
            </w:r>
            <w:r w:rsidR="00CF0564" w:rsidRPr="00CF0564">
              <w:rPr>
                <w:rFonts w:ascii="Calibri" w:hAnsi="Calibri"/>
                <w:szCs w:val="22"/>
              </w:rPr>
              <w:t>lass E).</w:t>
            </w:r>
            <w:r w:rsidR="00CF0564">
              <w:rPr>
                <w:rFonts w:ascii="Calibri" w:hAnsi="Calibri"/>
                <w:szCs w:val="22"/>
              </w:rPr>
              <w:t xml:space="preserve">  The submitted details do not propose any external alterations to the building, with it being proposed that the internal layout of the building will be utilised in its current configuration.  With the ground floor accommodating the customer service area and the first floor being utilised as office/customer area(s).</w:t>
            </w:r>
          </w:p>
          <w:p w14:paraId="1B20488F" w14:textId="1463629C" w:rsidR="000D2A45" w:rsidRPr="008C4F64" w:rsidRDefault="000D2A45" w:rsidP="008C4F64">
            <w:pPr>
              <w:jc w:val="both"/>
              <w:rPr>
                <w:rFonts w:ascii="Calibri" w:hAnsi="Calibri"/>
                <w:b/>
                <w:bCs/>
                <w:szCs w:val="22"/>
              </w:rPr>
            </w:pPr>
          </w:p>
        </w:tc>
      </w:tr>
      <w:tr w:rsidR="00D15787" w:rsidRPr="00D2449B" w14:paraId="6A3F43C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EDA56D" w14:textId="77777777" w:rsidR="00D15787" w:rsidRPr="002A325A" w:rsidRDefault="00D15787" w:rsidP="00440CB6">
            <w:pPr>
              <w:pStyle w:val="Header"/>
              <w:tabs>
                <w:tab w:val="clear" w:pos="4153"/>
                <w:tab w:val="clear" w:pos="8306"/>
              </w:tabs>
              <w:jc w:val="both"/>
              <w:rPr>
                <w:rFonts w:ascii="Calibri" w:hAnsi="Calibri"/>
                <w:b/>
                <w:szCs w:val="22"/>
              </w:rPr>
            </w:pPr>
            <w:r w:rsidRPr="002A325A">
              <w:rPr>
                <w:rFonts w:ascii="Calibri" w:hAnsi="Calibri"/>
                <w:b/>
                <w:szCs w:val="22"/>
              </w:rPr>
              <w:t>Principle of Development:</w:t>
            </w:r>
          </w:p>
          <w:p w14:paraId="77289EC5" w14:textId="77777777" w:rsidR="00D15787" w:rsidRDefault="00D15787" w:rsidP="00440CB6">
            <w:pPr>
              <w:pStyle w:val="Header"/>
              <w:tabs>
                <w:tab w:val="clear" w:pos="4153"/>
                <w:tab w:val="clear" w:pos="8306"/>
              </w:tabs>
              <w:jc w:val="both"/>
              <w:rPr>
                <w:rFonts w:ascii="Calibri" w:hAnsi="Calibri"/>
                <w:b/>
                <w:color w:val="FF0000"/>
                <w:szCs w:val="22"/>
              </w:rPr>
            </w:pPr>
          </w:p>
          <w:p w14:paraId="58BE0DA6" w14:textId="1184DE64" w:rsidR="00A10496" w:rsidRPr="00A10496" w:rsidRDefault="00C54589" w:rsidP="00C54589">
            <w:pPr>
              <w:jc w:val="both"/>
              <w:rPr>
                <w:rFonts w:ascii="Calibri" w:hAnsi="Calibri"/>
                <w:szCs w:val="22"/>
              </w:rPr>
            </w:pPr>
            <w:r w:rsidRPr="00A10496">
              <w:rPr>
                <w:rFonts w:ascii="Calibri" w:hAnsi="Calibri"/>
                <w:szCs w:val="22"/>
              </w:rPr>
              <w:t xml:space="preserve">The application seeks consent </w:t>
            </w:r>
            <w:r w:rsidR="00A10496" w:rsidRPr="00A10496">
              <w:rPr>
                <w:rFonts w:ascii="Calibri" w:hAnsi="Calibri"/>
                <w:szCs w:val="22"/>
              </w:rPr>
              <w:t xml:space="preserve">for a change of use of the building from that of an existing drinking establishment (Sui generis) to that of a Travel Agency (Class E) </w:t>
            </w:r>
            <w:r w:rsidRPr="00A10496">
              <w:rPr>
                <w:rFonts w:ascii="Calibri" w:hAnsi="Calibri"/>
                <w:szCs w:val="22"/>
              </w:rPr>
              <w:t xml:space="preserve">within the defined Main Centre Boundary of the settlement of </w:t>
            </w:r>
            <w:r w:rsidR="00A10496" w:rsidRPr="00A10496">
              <w:rPr>
                <w:rFonts w:ascii="Calibri" w:hAnsi="Calibri"/>
                <w:szCs w:val="22"/>
              </w:rPr>
              <w:t>Clitheroe.</w:t>
            </w:r>
            <w:r w:rsidRPr="00A10496">
              <w:rPr>
                <w:rFonts w:ascii="Calibri" w:hAnsi="Calibri"/>
                <w:szCs w:val="22"/>
              </w:rPr>
              <w:t xml:space="preserve">  </w:t>
            </w:r>
          </w:p>
          <w:p w14:paraId="45C8EF59" w14:textId="77777777" w:rsidR="00A10496" w:rsidRDefault="00A10496" w:rsidP="00C54589">
            <w:pPr>
              <w:jc w:val="both"/>
              <w:rPr>
                <w:rFonts w:ascii="Calibri" w:hAnsi="Calibri"/>
                <w:color w:val="FF0000"/>
                <w:szCs w:val="22"/>
              </w:rPr>
            </w:pPr>
          </w:p>
          <w:p w14:paraId="7579319D" w14:textId="4D2CF8AA" w:rsidR="00C54589" w:rsidRPr="005752DA" w:rsidRDefault="00C54589" w:rsidP="00C54589">
            <w:pPr>
              <w:jc w:val="both"/>
              <w:rPr>
                <w:rFonts w:ascii="Calibri" w:hAnsi="Calibri"/>
                <w:szCs w:val="22"/>
              </w:rPr>
            </w:pPr>
            <w:r w:rsidRPr="005752DA">
              <w:rPr>
                <w:rFonts w:ascii="Calibri" w:hAnsi="Calibri"/>
                <w:szCs w:val="22"/>
              </w:rPr>
              <w:t>As such Key Statements EC1, EC2 and Polic</w:t>
            </w:r>
            <w:r w:rsidR="005752DA" w:rsidRPr="005752DA">
              <w:rPr>
                <w:rFonts w:ascii="Calibri" w:hAnsi="Calibri"/>
                <w:szCs w:val="22"/>
              </w:rPr>
              <w:t>ies</w:t>
            </w:r>
            <w:r w:rsidRPr="005752DA">
              <w:rPr>
                <w:rFonts w:ascii="Calibri" w:hAnsi="Calibri"/>
                <w:szCs w:val="22"/>
              </w:rPr>
              <w:t xml:space="preserve"> DMB1 </w:t>
            </w:r>
            <w:r w:rsidR="005752DA" w:rsidRPr="005752DA">
              <w:rPr>
                <w:rFonts w:ascii="Calibri" w:hAnsi="Calibri"/>
                <w:szCs w:val="22"/>
              </w:rPr>
              <w:t xml:space="preserve">and DMR1 </w:t>
            </w:r>
            <w:r w:rsidRPr="005752DA">
              <w:rPr>
                <w:rFonts w:ascii="Calibri" w:hAnsi="Calibri"/>
                <w:szCs w:val="22"/>
              </w:rPr>
              <w:t xml:space="preserve">are primarily, but not solely engaged in respect of assessing the compatibility of the proposed use with that of the aims and objectives of the adopted </w:t>
            </w:r>
            <w:r w:rsidR="002E6393" w:rsidRPr="005752DA">
              <w:rPr>
                <w:rFonts w:ascii="Calibri" w:hAnsi="Calibri"/>
                <w:szCs w:val="22"/>
              </w:rPr>
              <w:t>Development</w:t>
            </w:r>
            <w:r w:rsidRPr="005752DA">
              <w:rPr>
                <w:rFonts w:ascii="Calibri" w:hAnsi="Calibri"/>
                <w:szCs w:val="22"/>
              </w:rPr>
              <w:t xml:space="preserve"> Plan.</w:t>
            </w:r>
          </w:p>
          <w:p w14:paraId="567AF6E8" w14:textId="77777777" w:rsidR="00C54589" w:rsidRPr="00AB0FF7" w:rsidRDefault="00C54589" w:rsidP="00C54589">
            <w:pPr>
              <w:jc w:val="both"/>
              <w:rPr>
                <w:rFonts w:ascii="Calibri" w:hAnsi="Calibri"/>
                <w:color w:val="FF0000"/>
                <w:szCs w:val="22"/>
              </w:rPr>
            </w:pPr>
          </w:p>
          <w:p w14:paraId="443AA9CF" w14:textId="77777777" w:rsidR="005752DA" w:rsidRPr="005752DA" w:rsidRDefault="00C54589" w:rsidP="00C54589">
            <w:pPr>
              <w:jc w:val="both"/>
              <w:rPr>
                <w:rFonts w:ascii="Calibri" w:hAnsi="Calibri"/>
                <w:i/>
                <w:iCs/>
                <w:szCs w:val="22"/>
              </w:rPr>
            </w:pPr>
            <w:r w:rsidRPr="005752DA">
              <w:rPr>
                <w:rFonts w:ascii="Calibri" w:hAnsi="Calibri"/>
                <w:szCs w:val="22"/>
              </w:rPr>
              <w:t>In this re</w:t>
            </w:r>
            <w:r w:rsidR="005F72F6" w:rsidRPr="005752DA">
              <w:rPr>
                <w:rFonts w:ascii="Calibri" w:hAnsi="Calibri"/>
                <w:szCs w:val="22"/>
              </w:rPr>
              <w:t xml:space="preserve">spect Key Statement EC2 states that </w:t>
            </w:r>
            <w:r w:rsidR="005F72F6" w:rsidRPr="005752DA">
              <w:rPr>
                <w:rFonts w:ascii="Calibri" w:hAnsi="Calibri"/>
                <w:i/>
                <w:iCs/>
                <w:szCs w:val="22"/>
              </w:rPr>
              <w:t>‘develo</w:t>
            </w:r>
            <w:r w:rsidR="002E6393" w:rsidRPr="005752DA">
              <w:rPr>
                <w:rFonts w:ascii="Calibri" w:hAnsi="Calibri"/>
                <w:i/>
                <w:iCs/>
                <w:szCs w:val="22"/>
              </w:rPr>
              <w:t xml:space="preserve">pment that supports and enhances the vibrancy, consumer choice and vitality and unique character of the areas important retail and service centres of Clitheroe, Longridge and Whalley will be supported in principle’.  </w:t>
            </w:r>
          </w:p>
          <w:p w14:paraId="751FC2F9" w14:textId="77777777" w:rsidR="005752DA" w:rsidRDefault="005752DA" w:rsidP="00C54589">
            <w:pPr>
              <w:jc w:val="both"/>
              <w:rPr>
                <w:rFonts w:ascii="Calibri" w:hAnsi="Calibri"/>
                <w:i/>
                <w:iCs/>
                <w:color w:val="FF0000"/>
                <w:szCs w:val="22"/>
              </w:rPr>
            </w:pPr>
          </w:p>
          <w:p w14:paraId="4488081B" w14:textId="19914564" w:rsidR="00C54589" w:rsidRPr="00602391" w:rsidRDefault="002E6393" w:rsidP="00C54589">
            <w:pPr>
              <w:jc w:val="both"/>
              <w:rPr>
                <w:rFonts w:ascii="Calibri" w:hAnsi="Calibri"/>
                <w:szCs w:val="22"/>
              </w:rPr>
            </w:pPr>
            <w:r w:rsidRPr="00602391">
              <w:rPr>
                <w:rFonts w:ascii="Calibri" w:hAnsi="Calibri"/>
                <w:szCs w:val="22"/>
              </w:rPr>
              <w:t>With Policy DMB1</w:t>
            </w:r>
            <w:r w:rsidRPr="00602391">
              <w:rPr>
                <w:rFonts w:ascii="Calibri" w:hAnsi="Calibri"/>
                <w:i/>
                <w:iCs/>
                <w:szCs w:val="22"/>
              </w:rPr>
              <w:t xml:space="preserve"> </w:t>
            </w:r>
            <w:r w:rsidRPr="00602391">
              <w:rPr>
                <w:rFonts w:ascii="Calibri" w:hAnsi="Calibri"/>
                <w:szCs w:val="22"/>
              </w:rPr>
              <w:t>being engaged in that it offers support to business growth and the local economy stating:</w:t>
            </w:r>
          </w:p>
          <w:p w14:paraId="2358A3C8" w14:textId="77777777" w:rsidR="002E6393" w:rsidRDefault="002E6393" w:rsidP="00C54589">
            <w:pPr>
              <w:jc w:val="both"/>
              <w:rPr>
                <w:rFonts w:ascii="Calibri" w:hAnsi="Calibri"/>
                <w:i/>
                <w:iCs/>
                <w:color w:val="FF0000"/>
                <w:szCs w:val="22"/>
              </w:rPr>
            </w:pPr>
          </w:p>
          <w:p w14:paraId="1AC70386" w14:textId="755AEC5E" w:rsidR="005752DA" w:rsidRPr="005752DA" w:rsidRDefault="005752DA" w:rsidP="00C54589">
            <w:pPr>
              <w:jc w:val="both"/>
              <w:rPr>
                <w:rFonts w:ascii="Calibri" w:hAnsi="Calibri"/>
                <w:b/>
                <w:bCs/>
                <w:i/>
                <w:iCs/>
                <w:szCs w:val="22"/>
              </w:rPr>
            </w:pPr>
            <w:r w:rsidRPr="005752DA">
              <w:rPr>
                <w:rFonts w:ascii="Calibri" w:hAnsi="Calibri"/>
                <w:b/>
                <w:bCs/>
                <w:i/>
                <w:iCs/>
                <w:szCs w:val="22"/>
              </w:rPr>
              <w:t>Policy DMB1:</w:t>
            </w:r>
          </w:p>
          <w:p w14:paraId="77FD482E" w14:textId="77777777" w:rsidR="002E6393" w:rsidRPr="005752DA" w:rsidRDefault="002E6393" w:rsidP="002E6393">
            <w:pPr>
              <w:jc w:val="both"/>
              <w:rPr>
                <w:rFonts w:ascii="Calibri" w:eastAsiaTheme="minorHAnsi" w:hAnsi="Calibri" w:cs="Calibri"/>
                <w:i/>
                <w:iCs/>
                <w:szCs w:val="22"/>
              </w:rPr>
            </w:pPr>
            <w:r w:rsidRPr="005752DA">
              <w:rPr>
                <w:rFonts w:ascii="Calibri" w:eastAsiaTheme="minorHAnsi" w:hAnsi="Calibri" w:cs="Calibri"/>
                <w:i/>
                <w:iCs/>
                <w:szCs w:val="22"/>
              </w:rPr>
              <w:t>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w:t>
            </w:r>
          </w:p>
          <w:p w14:paraId="4AC6FE87" w14:textId="77777777" w:rsidR="002E6393" w:rsidRPr="005752DA" w:rsidRDefault="002E6393" w:rsidP="002E6393">
            <w:pPr>
              <w:jc w:val="both"/>
              <w:rPr>
                <w:rFonts w:ascii="Calibri" w:eastAsiaTheme="minorHAnsi" w:hAnsi="Calibri" w:cs="Calibri"/>
                <w:i/>
                <w:iCs/>
                <w:szCs w:val="22"/>
              </w:rPr>
            </w:pPr>
          </w:p>
          <w:p w14:paraId="4F1F5796" w14:textId="77777777" w:rsidR="002E6393" w:rsidRPr="005752DA" w:rsidRDefault="002E6393" w:rsidP="002E6393">
            <w:pPr>
              <w:jc w:val="both"/>
              <w:rPr>
                <w:rFonts w:ascii="Calibri" w:eastAsiaTheme="minorHAnsi" w:hAnsi="Calibri" w:cs="Calibri"/>
                <w:i/>
                <w:iCs/>
                <w:szCs w:val="22"/>
              </w:rPr>
            </w:pPr>
            <w:r w:rsidRPr="005752DA">
              <w:rPr>
                <w:rFonts w:ascii="Calibri" w:eastAsiaTheme="minorHAnsi" w:hAnsi="Calibri" w:cs="Calibri"/>
                <w:i/>
                <w:iCs/>
                <w:szCs w:val="22"/>
              </w:rPr>
              <w:lastRenderedPageBreak/>
              <w:t>The expansion of existing firms within settlements will be permitted on land within or adjacent to their existing sites, provided no significant environmental problems are caused and the extension conforms to the other plan policies of the LDF.</w:t>
            </w:r>
          </w:p>
          <w:p w14:paraId="006FE778" w14:textId="77777777" w:rsidR="002E6393" w:rsidRPr="005752DA" w:rsidRDefault="002E6393" w:rsidP="002E6393">
            <w:pPr>
              <w:jc w:val="both"/>
              <w:rPr>
                <w:rFonts w:ascii="Calibri" w:eastAsiaTheme="minorHAnsi" w:hAnsi="Calibri" w:cs="Calibri"/>
                <w:i/>
                <w:iCs/>
                <w:szCs w:val="22"/>
              </w:rPr>
            </w:pPr>
          </w:p>
          <w:p w14:paraId="600F8F21" w14:textId="77777777" w:rsidR="002E6393" w:rsidRPr="005752DA" w:rsidRDefault="002E6393" w:rsidP="002E6393">
            <w:pPr>
              <w:jc w:val="both"/>
              <w:rPr>
                <w:rFonts w:ascii="Calibri" w:eastAsiaTheme="minorHAnsi" w:hAnsi="Calibri" w:cs="Calibri"/>
                <w:i/>
                <w:iCs/>
                <w:szCs w:val="22"/>
              </w:rPr>
            </w:pPr>
            <w:r w:rsidRPr="005752DA">
              <w:rPr>
                <w:rFonts w:ascii="Calibri" w:eastAsiaTheme="minorHAnsi" w:hAnsi="Calibri" w:cs="Calibri"/>
                <w:i/>
                <w:iCs/>
                <w:szCs w:val="22"/>
              </w:rPr>
              <w:t>The expansion of established firms on land outside settlements will be allowed provided it is essential to maintain the existing source of employment and can be assimilated within the local landscape.  There may be occasions where due to the scale of the proposal relocation to an alternative site is preferable.</w:t>
            </w:r>
          </w:p>
          <w:p w14:paraId="4FF2C918" w14:textId="77777777" w:rsidR="002E6393" w:rsidRPr="005752DA" w:rsidRDefault="002E6393" w:rsidP="002E6393">
            <w:pPr>
              <w:jc w:val="both"/>
              <w:rPr>
                <w:rFonts w:ascii="Calibri" w:eastAsiaTheme="minorHAnsi" w:hAnsi="Calibri" w:cs="Calibri"/>
                <w:i/>
                <w:iCs/>
                <w:szCs w:val="22"/>
              </w:rPr>
            </w:pPr>
          </w:p>
          <w:p w14:paraId="3019766F" w14:textId="77777777" w:rsidR="002E6393" w:rsidRPr="005752DA" w:rsidRDefault="002E6393" w:rsidP="005752DA">
            <w:pPr>
              <w:jc w:val="both"/>
              <w:rPr>
                <w:rFonts w:ascii="Calibri" w:eastAsiaTheme="minorHAnsi" w:hAnsi="Calibri" w:cs="Calibri"/>
                <w:i/>
                <w:iCs/>
                <w:szCs w:val="22"/>
              </w:rPr>
            </w:pPr>
            <w:r w:rsidRPr="005752DA">
              <w:rPr>
                <w:rFonts w:ascii="Calibri" w:eastAsiaTheme="minorHAnsi" w:hAnsi="Calibri" w:cs="Calibri"/>
                <w:i/>
                <w:iCs/>
                <w:szCs w:val="22"/>
              </w:rPr>
              <w:t>Proposals for the development, redevelopment or conversion of sites with employment generating potential in the plan area for alternative uses will be assessed with regard to the following criteria:</w:t>
            </w:r>
          </w:p>
          <w:p w14:paraId="5BE15C8F" w14:textId="77777777" w:rsidR="002E6393" w:rsidRPr="005752DA" w:rsidRDefault="002E6393" w:rsidP="005752DA">
            <w:pPr>
              <w:jc w:val="both"/>
              <w:rPr>
                <w:rFonts w:ascii="Calibri" w:eastAsiaTheme="minorHAnsi" w:hAnsi="Calibri" w:cs="Calibri"/>
                <w:i/>
                <w:iCs/>
                <w:szCs w:val="22"/>
              </w:rPr>
            </w:pPr>
          </w:p>
          <w:p w14:paraId="6FA8CACA" w14:textId="77777777" w:rsidR="002E6393" w:rsidRPr="005752DA" w:rsidRDefault="002E6393" w:rsidP="005752DA">
            <w:pPr>
              <w:pStyle w:val="ListParagraph"/>
              <w:numPr>
                <w:ilvl w:val="0"/>
                <w:numId w:val="21"/>
              </w:numPr>
              <w:overflowPunct/>
              <w:jc w:val="both"/>
              <w:textAlignment w:val="auto"/>
              <w:rPr>
                <w:rFonts w:asciiTheme="minorHAnsi" w:eastAsiaTheme="minorHAnsi" w:hAnsiTheme="minorHAnsi" w:cstheme="minorHAnsi"/>
                <w:i/>
                <w:iCs/>
                <w:szCs w:val="22"/>
              </w:rPr>
            </w:pPr>
            <w:r w:rsidRPr="005752DA">
              <w:rPr>
                <w:rFonts w:asciiTheme="minorHAnsi" w:eastAsiaTheme="minorHAnsi" w:hAnsiTheme="minorHAnsi" w:cstheme="minorHAnsi"/>
                <w:i/>
                <w:iCs/>
                <w:szCs w:val="22"/>
              </w:rPr>
              <w:t>The provisions of Policy DMG1, and</w:t>
            </w:r>
          </w:p>
          <w:p w14:paraId="3978965A" w14:textId="77777777" w:rsidR="002E6393" w:rsidRPr="005752DA" w:rsidRDefault="002E6393" w:rsidP="005752DA">
            <w:pPr>
              <w:pStyle w:val="ListParagraph"/>
              <w:numPr>
                <w:ilvl w:val="0"/>
                <w:numId w:val="21"/>
              </w:numPr>
              <w:overflowPunct/>
              <w:jc w:val="both"/>
              <w:textAlignment w:val="auto"/>
              <w:rPr>
                <w:rFonts w:asciiTheme="minorHAnsi" w:eastAsiaTheme="minorHAnsi" w:hAnsiTheme="minorHAnsi" w:cstheme="minorHAnsi"/>
                <w:i/>
                <w:iCs/>
                <w:szCs w:val="22"/>
              </w:rPr>
            </w:pPr>
            <w:r w:rsidRPr="005752DA">
              <w:rPr>
                <w:rFonts w:asciiTheme="minorHAnsi" w:eastAsiaTheme="minorHAnsi" w:hAnsiTheme="minorHAnsi" w:cstheme="minorHAnsi"/>
                <w:i/>
                <w:iCs/>
                <w:szCs w:val="22"/>
              </w:rPr>
              <w:t>The compatibility of the proposal with other plan policies of the LDF, and</w:t>
            </w:r>
          </w:p>
          <w:p w14:paraId="622CD4FB" w14:textId="77777777" w:rsidR="002E6393" w:rsidRPr="005752DA" w:rsidRDefault="002E6393" w:rsidP="005752DA">
            <w:pPr>
              <w:pStyle w:val="ListParagraph"/>
              <w:numPr>
                <w:ilvl w:val="0"/>
                <w:numId w:val="21"/>
              </w:numPr>
              <w:overflowPunct/>
              <w:jc w:val="both"/>
              <w:textAlignment w:val="auto"/>
              <w:rPr>
                <w:rFonts w:asciiTheme="minorHAnsi" w:eastAsiaTheme="minorHAnsi" w:hAnsiTheme="minorHAnsi" w:cstheme="minorHAnsi"/>
                <w:i/>
                <w:iCs/>
                <w:szCs w:val="22"/>
              </w:rPr>
            </w:pPr>
            <w:r w:rsidRPr="005752DA">
              <w:rPr>
                <w:rFonts w:asciiTheme="minorHAnsi" w:eastAsiaTheme="minorHAnsi" w:hAnsiTheme="minorHAnsi" w:cstheme="minorHAnsi"/>
                <w:i/>
                <w:iCs/>
                <w:szCs w:val="22"/>
              </w:rPr>
              <w:t>The environmental benefits to be gained by the community, and</w:t>
            </w:r>
          </w:p>
          <w:p w14:paraId="6CF39CAA" w14:textId="77777777" w:rsidR="002E6393" w:rsidRPr="005752DA" w:rsidRDefault="002E6393" w:rsidP="005752DA">
            <w:pPr>
              <w:pStyle w:val="ListParagraph"/>
              <w:numPr>
                <w:ilvl w:val="0"/>
                <w:numId w:val="21"/>
              </w:numPr>
              <w:overflowPunct/>
              <w:jc w:val="both"/>
              <w:textAlignment w:val="auto"/>
              <w:rPr>
                <w:rFonts w:asciiTheme="minorHAnsi" w:eastAsiaTheme="minorHAnsi" w:hAnsiTheme="minorHAnsi" w:cstheme="minorHAnsi"/>
                <w:i/>
                <w:iCs/>
                <w:szCs w:val="22"/>
              </w:rPr>
            </w:pPr>
            <w:r w:rsidRPr="005752DA">
              <w:rPr>
                <w:rFonts w:asciiTheme="minorHAnsi" w:eastAsiaTheme="minorHAnsi" w:hAnsiTheme="minorHAnsi" w:cstheme="minorHAnsi"/>
                <w:i/>
                <w:iCs/>
                <w:szCs w:val="22"/>
              </w:rPr>
              <w:t>The economic and social impact caused by loss of employment opportunities to the borough, and</w:t>
            </w:r>
          </w:p>
          <w:p w14:paraId="58CE0CC8" w14:textId="77777777" w:rsidR="002E6393" w:rsidRPr="005752DA" w:rsidRDefault="002E6393" w:rsidP="005752DA">
            <w:pPr>
              <w:pStyle w:val="ListParagraph"/>
              <w:numPr>
                <w:ilvl w:val="0"/>
                <w:numId w:val="21"/>
              </w:numPr>
              <w:overflowPunct/>
              <w:jc w:val="both"/>
              <w:textAlignment w:val="auto"/>
              <w:rPr>
                <w:rFonts w:asciiTheme="minorHAnsi" w:eastAsiaTheme="minorHAnsi" w:hAnsiTheme="minorHAnsi" w:cstheme="minorHAnsi"/>
                <w:i/>
                <w:iCs/>
                <w:szCs w:val="22"/>
              </w:rPr>
            </w:pPr>
            <w:r w:rsidRPr="005752DA">
              <w:rPr>
                <w:rFonts w:asciiTheme="minorHAnsi" w:eastAsiaTheme="minorHAnsi" w:hAnsiTheme="minorHAnsi" w:cstheme="minorHAnsi"/>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73CD4B91" w14:textId="77777777" w:rsidR="002E6393" w:rsidRPr="005752DA" w:rsidRDefault="002E6393" w:rsidP="005752DA">
            <w:pPr>
              <w:overflowPunct/>
              <w:jc w:val="both"/>
              <w:textAlignment w:val="auto"/>
              <w:rPr>
                <w:rFonts w:asciiTheme="minorHAnsi" w:eastAsiaTheme="minorHAnsi" w:hAnsiTheme="minorHAnsi" w:cstheme="minorHAnsi"/>
                <w:i/>
                <w:iCs/>
                <w:szCs w:val="22"/>
              </w:rPr>
            </w:pPr>
          </w:p>
          <w:p w14:paraId="6B449FD8" w14:textId="0BD59A3D" w:rsidR="005752DA" w:rsidRPr="005752DA" w:rsidRDefault="005752DA" w:rsidP="005752DA">
            <w:pPr>
              <w:overflowPunct/>
              <w:jc w:val="both"/>
              <w:textAlignment w:val="auto"/>
              <w:rPr>
                <w:rFonts w:asciiTheme="minorHAnsi" w:eastAsiaTheme="minorHAnsi" w:hAnsiTheme="minorHAnsi" w:cstheme="minorHAnsi"/>
                <w:szCs w:val="22"/>
              </w:rPr>
            </w:pPr>
            <w:r w:rsidRPr="005752DA">
              <w:rPr>
                <w:rFonts w:asciiTheme="minorHAnsi" w:eastAsiaTheme="minorHAnsi" w:hAnsiTheme="minorHAnsi" w:cstheme="minorHAnsi"/>
                <w:szCs w:val="22"/>
              </w:rPr>
              <w:t>Further to the overall aims and requirements of Policy DMB1, Policy DMR1 is also engaged in parallel in that the policy relates directly to ‘Retail Development in Clitheroe’ with the policy reading as follows:</w:t>
            </w:r>
          </w:p>
          <w:p w14:paraId="407CFCFC" w14:textId="77777777" w:rsidR="005752DA" w:rsidRDefault="005752DA" w:rsidP="002E6393">
            <w:pPr>
              <w:overflowPunct/>
              <w:jc w:val="both"/>
              <w:textAlignment w:val="auto"/>
              <w:rPr>
                <w:rFonts w:asciiTheme="minorHAnsi" w:eastAsiaTheme="minorHAnsi" w:hAnsiTheme="minorHAnsi" w:cstheme="minorHAnsi"/>
                <w:color w:val="FF0000"/>
                <w:szCs w:val="22"/>
              </w:rPr>
            </w:pPr>
          </w:p>
          <w:p w14:paraId="6C5C483D" w14:textId="1C8ADBEC" w:rsidR="005752DA" w:rsidRPr="0032499E" w:rsidRDefault="005752DA" w:rsidP="002E6393">
            <w:pPr>
              <w:overflowPunct/>
              <w:jc w:val="both"/>
              <w:textAlignment w:val="auto"/>
              <w:rPr>
                <w:rFonts w:asciiTheme="minorHAnsi" w:eastAsiaTheme="minorHAnsi" w:hAnsiTheme="minorHAnsi" w:cstheme="minorHAnsi"/>
                <w:b/>
                <w:bCs/>
                <w:i/>
                <w:iCs/>
                <w:szCs w:val="22"/>
              </w:rPr>
            </w:pPr>
            <w:r w:rsidRPr="0032499E">
              <w:rPr>
                <w:rFonts w:asciiTheme="minorHAnsi" w:eastAsiaTheme="minorHAnsi" w:hAnsiTheme="minorHAnsi" w:cstheme="minorHAnsi"/>
                <w:b/>
                <w:bCs/>
                <w:i/>
                <w:iCs/>
                <w:szCs w:val="22"/>
              </w:rPr>
              <w:t>Policy DMR1:</w:t>
            </w:r>
          </w:p>
          <w:p w14:paraId="687E6022"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Proposals for shopping developments within the main shopping centre of Clitheroe, as defined on the proposals map, will be approved subject to the other policies of the LDF special regard will be had to the likely contribution of the proposals to the vitality and viability of the centre and their effect on the character and appearance of the area as well as the arrangements for vehicular movement and parking.</w:t>
            </w:r>
          </w:p>
          <w:p w14:paraId="533ADB08" w14:textId="77777777" w:rsidR="0032499E" w:rsidRPr="0032499E" w:rsidRDefault="0032499E" w:rsidP="0032499E">
            <w:pPr>
              <w:jc w:val="both"/>
              <w:rPr>
                <w:rFonts w:asciiTheme="minorHAnsi" w:hAnsiTheme="minorHAnsi" w:cstheme="minorHAnsi"/>
                <w:i/>
                <w:iCs/>
                <w:szCs w:val="22"/>
              </w:rPr>
            </w:pPr>
          </w:p>
          <w:p w14:paraId="13F1A437"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The following will be important considerations:</w:t>
            </w:r>
          </w:p>
          <w:p w14:paraId="38359172" w14:textId="77777777" w:rsidR="0032499E" w:rsidRPr="0032499E" w:rsidRDefault="0032499E" w:rsidP="0032499E">
            <w:pPr>
              <w:jc w:val="both"/>
              <w:rPr>
                <w:rFonts w:asciiTheme="minorHAnsi" w:hAnsiTheme="minorHAnsi" w:cstheme="minorHAnsi"/>
                <w:b/>
                <w:bCs/>
                <w:i/>
                <w:iCs/>
                <w:szCs w:val="22"/>
              </w:rPr>
            </w:pPr>
          </w:p>
          <w:p w14:paraId="7A19967B" w14:textId="77777777" w:rsidR="0032499E" w:rsidRPr="0032499E" w:rsidRDefault="0032499E" w:rsidP="0032499E">
            <w:pPr>
              <w:pStyle w:val="ListParagraph"/>
              <w:numPr>
                <w:ilvl w:val="0"/>
                <w:numId w:val="24"/>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In terms of major developments a travel plan will be requested.</w:t>
            </w:r>
          </w:p>
          <w:p w14:paraId="42AEE53E" w14:textId="77777777" w:rsidR="0032499E" w:rsidRPr="0032499E" w:rsidRDefault="0032499E" w:rsidP="0032499E">
            <w:pPr>
              <w:pStyle w:val="ListParagraph"/>
              <w:numPr>
                <w:ilvl w:val="0"/>
                <w:numId w:val="24"/>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The impact of the development on the economic and physical regeneration of the shopping centre.</w:t>
            </w:r>
          </w:p>
          <w:p w14:paraId="4A9D5F67" w14:textId="77777777" w:rsidR="0032499E" w:rsidRPr="0032499E" w:rsidRDefault="0032499E" w:rsidP="0032499E">
            <w:pPr>
              <w:pStyle w:val="ListParagraph"/>
              <w:numPr>
                <w:ilvl w:val="0"/>
                <w:numId w:val="24"/>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An impact assessment will be required for planning applications in the centre that do not conform to the plan and may have an impact on other centres.</w:t>
            </w:r>
          </w:p>
          <w:p w14:paraId="1261D121" w14:textId="77777777" w:rsidR="0032499E" w:rsidRPr="0032499E" w:rsidRDefault="0032499E" w:rsidP="0032499E">
            <w:pPr>
              <w:pStyle w:val="ListParagraph"/>
              <w:numPr>
                <w:ilvl w:val="0"/>
                <w:numId w:val="24"/>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The impact on the local employment.</w:t>
            </w:r>
          </w:p>
          <w:p w14:paraId="4DA0A93E" w14:textId="77777777" w:rsidR="0032499E" w:rsidRPr="0032499E" w:rsidRDefault="0032499E" w:rsidP="0032499E">
            <w:pPr>
              <w:jc w:val="both"/>
              <w:rPr>
                <w:rFonts w:asciiTheme="minorHAnsi" w:hAnsiTheme="minorHAnsi" w:cstheme="minorHAnsi"/>
                <w:b/>
                <w:bCs/>
                <w:i/>
                <w:iCs/>
                <w:szCs w:val="22"/>
              </w:rPr>
            </w:pPr>
          </w:p>
          <w:p w14:paraId="27898997"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The centre of Clitheroe is the only part of the borough considered to be suitable and capable of accommodating major retail development.</w:t>
            </w:r>
          </w:p>
          <w:p w14:paraId="62702611" w14:textId="77777777" w:rsidR="0032499E" w:rsidRPr="0032499E" w:rsidRDefault="0032499E" w:rsidP="0032499E">
            <w:pPr>
              <w:jc w:val="both"/>
              <w:rPr>
                <w:rFonts w:asciiTheme="minorHAnsi" w:hAnsiTheme="minorHAnsi" w:cstheme="minorHAnsi"/>
                <w:i/>
                <w:iCs/>
                <w:szCs w:val="22"/>
              </w:rPr>
            </w:pPr>
          </w:p>
          <w:p w14:paraId="03714D92"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For the purposes of this policy, large-scale developments are considered to be those intended to serve a wide catchment area (i.e. wider than Clitheroe and its surrounding area).</w:t>
            </w:r>
          </w:p>
          <w:p w14:paraId="2CB98307" w14:textId="77777777" w:rsidR="0032499E" w:rsidRPr="0032499E" w:rsidRDefault="0032499E" w:rsidP="0032499E">
            <w:pPr>
              <w:jc w:val="both"/>
              <w:rPr>
                <w:rFonts w:asciiTheme="minorHAnsi" w:hAnsiTheme="minorHAnsi" w:cstheme="minorHAnsi"/>
                <w:i/>
                <w:iCs/>
                <w:szCs w:val="22"/>
              </w:rPr>
            </w:pPr>
          </w:p>
          <w:p w14:paraId="63E464BB"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Proposals which fall into this category include large supermarkets and hypermarkets, retail warehouses and comprehensive re-developments comprising a number of smaller units.</w:t>
            </w:r>
          </w:p>
          <w:p w14:paraId="4BF934D2" w14:textId="77777777" w:rsidR="0032499E" w:rsidRPr="0032499E" w:rsidRDefault="0032499E" w:rsidP="0032499E">
            <w:pPr>
              <w:jc w:val="both"/>
              <w:rPr>
                <w:rFonts w:asciiTheme="minorHAnsi" w:hAnsiTheme="minorHAnsi" w:cstheme="minorHAnsi"/>
                <w:i/>
                <w:iCs/>
                <w:szCs w:val="22"/>
              </w:rPr>
            </w:pPr>
          </w:p>
          <w:p w14:paraId="326C42CB"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Any proposal must conform to the other policies of this plan.</w:t>
            </w:r>
          </w:p>
          <w:p w14:paraId="7E4B2BCD" w14:textId="77777777" w:rsidR="0032499E" w:rsidRPr="0032499E" w:rsidRDefault="0032499E" w:rsidP="0032499E">
            <w:pPr>
              <w:jc w:val="both"/>
              <w:rPr>
                <w:rFonts w:asciiTheme="minorHAnsi" w:hAnsiTheme="minorHAnsi" w:cstheme="minorHAnsi"/>
                <w:i/>
                <w:iCs/>
                <w:szCs w:val="22"/>
              </w:rPr>
            </w:pPr>
          </w:p>
          <w:p w14:paraId="24DC514F"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Proposals for shopping development outside the main shopping centre, as defined on the proposals map, will be considered on a sequential basis.  Development of sites on the edge of the centre will be allowed provided it can be demonstrated that:</w:t>
            </w:r>
          </w:p>
          <w:p w14:paraId="332804AA" w14:textId="77777777" w:rsidR="0032499E" w:rsidRPr="0032499E" w:rsidRDefault="0032499E" w:rsidP="0032499E">
            <w:pPr>
              <w:jc w:val="both"/>
              <w:rPr>
                <w:rFonts w:asciiTheme="minorHAnsi" w:hAnsiTheme="minorHAnsi" w:cstheme="minorHAnsi"/>
                <w:i/>
                <w:iCs/>
                <w:szCs w:val="22"/>
              </w:rPr>
            </w:pPr>
          </w:p>
          <w:p w14:paraId="2147B3BE"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All town centre options have been thoroughly assessed before less central sites were considered.</w:t>
            </w:r>
          </w:p>
          <w:p w14:paraId="56C74C86"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lastRenderedPageBreak/>
              <w:t>That where it has been demonstrated by the applicant that there are no town centre sites to accommodate the proposed development, preference is given to edge of centre locations that are well connected to the centre by means of easy pedestrian access and are accessible by public transport.</w:t>
            </w:r>
          </w:p>
          <w:p w14:paraId="36CF9BFA"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That the proposal would not seriously affect the vitality or viability of the town centre. for sites over 1000m² gross internal floorspace an impact assessment should accompany any application.</w:t>
            </w:r>
          </w:p>
          <w:p w14:paraId="559FA3DB"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That where it is asserted that there are no other sequentially preferable sites that are appropriate for the proposed development, the applicant should demonstrate this. this should be through as assessment of the availability, suitability and viability of possible sequentially preferable sites.</w:t>
            </w:r>
          </w:p>
          <w:p w14:paraId="685DE0D2"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That in considering edge of centre sites, developers and operators have demonstrated flexibility in relation to sequentially preferable town centre sites in terms of scale, format, car parking and possible disaggregation of the proposal.</w:t>
            </w:r>
          </w:p>
          <w:p w14:paraId="7486D771" w14:textId="77777777" w:rsidR="0032499E" w:rsidRPr="0032499E" w:rsidRDefault="0032499E" w:rsidP="0032499E">
            <w:pPr>
              <w:pStyle w:val="ListParagraph"/>
              <w:numPr>
                <w:ilvl w:val="0"/>
                <w:numId w:val="25"/>
              </w:numPr>
              <w:overflowPunct/>
              <w:jc w:val="both"/>
              <w:textAlignment w:val="auto"/>
              <w:rPr>
                <w:rFonts w:asciiTheme="minorHAnsi" w:hAnsiTheme="minorHAnsi" w:cstheme="minorHAnsi"/>
                <w:i/>
                <w:iCs/>
                <w:szCs w:val="22"/>
              </w:rPr>
            </w:pPr>
            <w:r w:rsidRPr="0032499E">
              <w:rPr>
                <w:rFonts w:asciiTheme="minorHAnsi" w:hAnsiTheme="minorHAnsi" w:cstheme="minorHAnsi"/>
                <w:i/>
                <w:iCs/>
                <w:szCs w:val="22"/>
              </w:rPr>
              <w:t>That the proposal conforms to other policies of this plan, with particular regard to environmental impact and arrangements for vehicular movement and parking.</w:t>
            </w:r>
          </w:p>
          <w:p w14:paraId="7403ED41" w14:textId="77777777" w:rsidR="0032499E" w:rsidRPr="0032499E" w:rsidRDefault="0032499E" w:rsidP="0032499E">
            <w:pPr>
              <w:pStyle w:val="ListParagraph"/>
              <w:jc w:val="both"/>
              <w:rPr>
                <w:rFonts w:asciiTheme="minorHAnsi" w:hAnsiTheme="minorHAnsi" w:cstheme="minorHAnsi"/>
                <w:i/>
                <w:iCs/>
                <w:szCs w:val="22"/>
              </w:rPr>
            </w:pPr>
          </w:p>
          <w:p w14:paraId="55B1C355"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The above also applies to extensions to retail uses where the gross floorspace exceeds 200m².</w:t>
            </w:r>
          </w:p>
          <w:p w14:paraId="1F9F834D" w14:textId="77777777" w:rsidR="0032499E" w:rsidRPr="0032499E" w:rsidRDefault="0032499E" w:rsidP="0032499E">
            <w:pPr>
              <w:jc w:val="both"/>
              <w:rPr>
                <w:rFonts w:asciiTheme="minorHAnsi" w:hAnsiTheme="minorHAnsi" w:cstheme="minorHAnsi"/>
                <w:i/>
                <w:iCs/>
                <w:szCs w:val="22"/>
              </w:rPr>
            </w:pPr>
          </w:p>
          <w:p w14:paraId="457CD845"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Within the principal shopping frontage of Clitheroe, as defined on the proposals map, the only new uses considered appropriate at ground floor level will be uses included in class A1 of the town and country planning (use classes) order 2006 and use for the sale of food or drink for consumption on the premises.  Other uses will only be considered in exceptional circumstances where there would be no material adverse effect on the character of the frontage, general amenity, or highway safety.</w:t>
            </w:r>
          </w:p>
          <w:p w14:paraId="6181AADA" w14:textId="77777777" w:rsidR="0032499E" w:rsidRPr="0032499E" w:rsidRDefault="0032499E" w:rsidP="0032499E">
            <w:pPr>
              <w:jc w:val="both"/>
              <w:rPr>
                <w:rFonts w:asciiTheme="minorHAnsi" w:hAnsiTheme="minorHAnsi" w:cstheme="minorHAnsi"/>
                <w:i/>
                <w:iCs/>
                <w:szCs w:val="22"/>
              </w:rPr>
            </w:pPr>
          </w:p>
          <w:p w14:paraId="46845A97"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The introduction of non-retail uses such as banks, building societies and estate agencies into the defined principal shopping creates breaks, weakening the quality of the principal shopping streets and potentially forcing retail uses onto secondary streets, thus threatening the vitality of the town.</w:t>
            </w:r>
          </w:p>
          <w:p w14:paraId="5E943430" w14:textId="77777777" w:rsidR="0032499E" w:rsidRPr="0032499E" w:rsidRDefault="0032499E" w:rsidP="0032499E">
            <w:pPr>
              <w:jc w:val="both"/>
              <w:rPr>
                <w:rFonts w:asciiTheme="minorHAnsi" w:hAnsiTheme="minorHAnsi" w:cstheme="minorHAnsi"/>
                <w:i/>
                <w:iCs/>
                <w:szCs w:val="22"/>
              </w:rPr>
            </w:pPr>
          </w:p>
          <w:p w14:paraId="76A2ED66" w14:textId="77777777" w:rsidR="0032499E" w:rsidRPr="0032499E" w:rsidRDefault="0032499E" w:rsidP="0032499E">
            <w:pPr>
              <w:jc w:val="both"/>
              <w:rPr>
                <w:rFonts w:asciiTheme="minorHAnsi" w:hAnsiTheme="minorHAnsi" w:cstheme="minorHAnsi"/>
                <w:i/>
                <w:iCs/>
                <w:szCs w:val="22"/>
              </w:rPr>
            </w:pPr>
            <w:r w:rsidRPr="0032499E">
              <w:rPr>
                <w:rFonts w:asciiTheme="minorHAnsi" w:hAnsiTheme="minorHAnsi" w:cstheme="minorHAnsi"/>
                <w:i/>
                <w:iCs/>
                <w:szCs w:val="22"/>
              </w:rPr>
              <w:t>This policy allows the change of use of properties to cafes and restaurants subject to Policy DMG1.  However the sale of take-away foods is restricted.  This policy is linked to a direction under article 4 of the town and country planning general development order 1988, which restricts permitted development rights for change of use from use class A3 (food and drink) to use class A2 (financial and professional services) and also restricts use class A3 to the sale of food and drink for consumption on the premises.  This means that planning consent must be obtained for such development.</w:t>
            </w:r>
          </w:p>
          <w:p w14:paraId="3A0A72F5" w14:textId="77777777" w:rsidR="005752DA" w:rsidRPr="00AB0FF7" w:rsidRDefault="005752DA" w:rsidP="002E6393">
            <w:pPr>
              <w:overflowPunct/>
              <w:jc w:val="both"/>
              <w:textAlignment w:val="auto"/>
              <w:rPr>
                <w:rFonts w:asciiTheme="minorHAnsi" w:eastAsiaTheme="minorHAnsi" w:hAnsiTheme="minorHAnsi" w:cstheme="minorHAnsi"/>
                <w:i/>
                <w:iCs/>
                <w:color w:val="FF0000"/>
                <w:szCs w:val="22"/>
              </w:rPr>
            </w:pPr>
          </w:p>
          <w:p w14:paraId="25D8DDA2" w14:textId="06122844" w:rsidR="002E6393" w:rsidRPr="00B326FE" w:rsidRDefault="002E6393" w:rsidP="002E6393">
            <w:pPr>
              <w:overflowPunct/>
              <w:jc w:val="both"/>
              <w:textAlignment w:val="auto"/>
              <w:rPr>
                <w:rFonts w:asciiTheme="minorHAnsi" w:eastAsiaTheme="minorHAnsi" w:hAnsiTheme="minorHAnsi" w:cstheme="minorHAnsi"/>
                <w:szCs w:val="22"/>
              </w:rPr>
            </w:pPr>
            <w:r w:rsidRPr="0032499E">
              <w:rPr>
                <w:rFonts w:asciiTheme="minorHAnsi" w:eastAsiaTheme="minorHAnsi" w:hAnsiTheme="minorHAnsi" w:cstheme="minorHAnsi"/>
                <w:szCs w:val="22"/>
              </w:rPr>
              <w:t>As such, taking account of the above and taking account of the nature of the proposal.  Notwithstanding other development management considerations, in particular potential conflicts with Policy DMG1.  It is considered that the proposed change of use would align with the broad aims and objectives of Key Statement</w:t>
            </w:r>
            <w:r w:rsidR="0032499E" w:rsidRPr="0032499E">
              <w:rPr>
                <w:rFonts w:asciiTheme="minorHAnsi" w:eastAsiaTheme="minorHAnsi" w:hAnsiTheme="minorHAnsi" w:cstheme="minorHAnsi"/>
                <w:szCs w:val="22"/>
              </w:rPr>
              <w:t>s</w:t>
            </w:r>
            <w:r w:rsidRPr="0032499E">
              <w:rPr>
                <w:rFonts w:asciiTheme="minorHAnsi" w:eastAsiaTheme="minorHAnsi" w:hAnsiTheme="minorHAnsi" w:cstheme="minorHAnsi"/>
                <w:szCs w:val="22"/>
              </w:rPr>
              <w:t xml:space="preserve"> </w:t>
            </w:r>
            <w:r w:rsidR="0032499E" w:rsidRPr="0032499E">
              <w:rPr>
                <w:rFonts w:asciiTheme="minorHAnsi" w:eastAsiaTheme="minorHAnsi" w:hAnsiTheme="minorHAnsi" w:cstheme="minorHAnsi"/>
                <w:szCs w:val="22"/>
              </w:rPr>
              <w:t xml:space="preserve">EC1 and </w:t>
            </w:r>
            <w:r w:rsidRPr="0032499E">
              <w:rPr>
                <w:rFonts w:asciiTheme="minorHAnsi" w:eastAsiaTheme="minorHAnsi" w:hAnsiTheme="minorHAnsi" w:cstheme="minorHAnsi"/>
                <w:szCs w:val="22"/>
              </w:rPr>
              <w:t>EC2 and Polic</w:t>
            </w:r>
            <w:r w:rsidR="0032499E" w:rsidRPr="0032499E">
              <w:rPr>
                <w:rFonts w:asciiTheme="minorHAnsi" w:eastAsiaTheme="minorHAnsi" w:hAnsiTheme="minorHAnsi" w:cstheme="minorHAnsi"/>
                <w:szCs w:val="22"/>
              </w:rPr>
              <w:t>ies</w:t>
            </w:r>
            <w:r w:rsidRPr="0032499E">
              <w:rPr>
                <w:rFonts w:asciiTheme="minorHAnsi" w:eastAsiaTheme="minorHAnsi" w:hAnsiTheme="minorHAnsi" w:cstheme="minorHAnsi"/>
                <w:szCs w:val="22"/>
              </w:rPr>
              <w:t xml:space="preserve"> DMB1 </w:t>
            </w:r>
            <w:r w:rsidR="0032499E" w:rsidRPr="0032499E">
              <w:rPr>
                <w:rFonts w:asciiTheme="minorHAnsi" w:eastAsiaTheme="minorHAnsi" w:hAnsiTheme="minorHAnsi" w:cstheme="minorHAnsi"/>
                <w:szCs w:val="22"/>
              </w:rPr>
              <w:t xml:space="preserve">and DMR1 of the Ribble Valley </w:t>
            </w:r>
            <w:r w:rsidR="00D075E4">
              <w:rPr>
                <w:rFonts w:asciiTheme="minorHAnsi" w:eastAsiaTheme="minorHAnsi" w:hAnsiTheme="minorHAnsi" w:cstheme="minorHAnsi"/>
                <w:szCs w:val="22"/>
              </w:rPr>
              <w:t>C</w:t>
            </w:r>
            <w:r w:rsidR="0032499E" w:rsidRPr="0032499E">
              <w:rPr>
                <w:rFonts w:asciiTheme="minorHAnsi" w:eastAsiaTheme="minorHAnsi" w:hAnsiTheme="minorHAnsi" w:cstheme="minorHAnsi"/>
                <w:szCs w:val="22"/>
              </w:rPr>
              <w:t>ore Strategy</w:t>
            </w:r>
            <w:r w:rsidR="0032499E" w:rsidRPr="00B326FE">
              <w:rPr>
                <w:rFonts w:asciiTheme="minorHAnsi" w:eastAsiaTheme="minorHAnsi" w:hAnsiTheme="minorHAnsi" w:cstheme="minorHAnsi"/>
                <w:szCs w:val="22"/>
              </w:rPr>
              <w:t>.</w:t>
            </w:r>
            <w:r w:rsidR="00B326FE" w:rsidRPr="00B326FE">
              <w:rPr>
                <w:rFonts w:asciiTheme="minorHAnsi" w:eastAsiaTheme="minorHAnsi" w:hAnsiTheme="minorHAnsi" w:cstheme="minorHAnsi"/>
                <w:szCs w:val="22"/>
              </w:rPr>
              <w:t xml:space="preserve">  </w:t>
            </w:r>
            <w:r w:rsidR="0032499E" w:rsidRPr="00B326FE">
              <w:rPr>
                <w:rFonts w:asciiTheme="minorHAnsi" w:eastAsiaTheme="minorHAnsi" w:hAnsiTheme="minorHAnsi" w:cstheme="minorHAnsi"/>
                <w:szCs w:val="22"/>
              </w:rPr>
              <w:t xml:space="preserve">Particularly </w:t>
            </w:r>
            <w:r w:rsidRPr="00B326FE">
              <w:rPr>
                <w:rFonts w:asciiTheme="minorHAnsi" w:eastAsiaTheme="minorHAnsi" w:hAnsiTheme="minorHAnsi" w:cstheme="minorHAnsi"/>
                <w:szCs w:val="22"/>
              </w:rPr>
              <w:t xml:space="preserve">insofar that that proposal would support business growth and the local economy and enhance the vibrancy, consumer choice, vitality and unique character of </w:t>
            </w:r>
            <w:r w:rsidR="00D075E4" w:rsidRPr="00B326FE">
              <w:rPr>
                <w:rFonts w:asciiTheme="minorHAnsi" w:eastAsiaTheme="minorHAnsi" w:hAnsiTheme="minorHAnsi" w:cstheme="minorHAnsi"/>
                <w:szCs w:val="22"/>
              </w:rPr>
              <w:t>Clitheroe, also resulting in the</w:t>
            </w:r>
            <w:r w:rsidR="00B326FE" w:rsidRPr="00B326FE">
              <w:rPr>
                <w:rFonts w:asciiTheme="minorHAnsi" w:eastAsiaTheme="minorHAnsi" w:hAnsiTheme="minorHAnsi" w:cstheme="minorHAnsi"/>
                <w:szCs w:val="22"/>
              </w:rPr>
              <w:t xml:space="preserve"> introduction of a Class E use (formerly Use Class </w:t>
            </w:r>
            <w:r w:rsidR="00B326FE" w:rsidRPr="00B326FE">
              <w:rPr>
                <w:rFonts w:asciiTheme="minorHAnsi" w:hAnsiTheme="minorHAnsi" w:cstheme="minorHAnsi"/>
                <w:szCs w:val="22"/>
              </w:rPr>
              <w:t>A1) within the M</w:t>
            </w:r>
            <w:r w:rsidR="00B326FE">
              <w:rPr>
                <w:rFonts w:asciiTheme="minorHAnsi" w:hAnsiTheme="minorHAnsi" w:cstheme="minorHAnsi"/>
                <w:szCs w:val="22"/>
              </w:rPr>
              <w:t>a</w:t>
            </w:r>
            <w:r w:rsidR="00B326FE" w:rsidRPr="00B326FE">
              <w:rPr>
                <w:rFonts w:asciiTheme="minorHAnsi" w:hAnsiTheme="minorHAnsi" w:cstheme="minorHAnsi"/>
                <w:szCs w:val="22"/>
              </w:rPr>
              <w:t>in Town Centre area of the settlement.</w:t>
            </w:r>
          </w:p>
          <w:p w14:paraId="3EC6C34D" w14:textId="342B2646" w:rsidR="000D2A45" w:rsidRPr="00D15787" w:rsidRDefault="000D2A45" w:rsidP="00440CB6">
            <w:pPr>
              <w:pStyle w:val="Header"/>
              <w:tabs>
                <w:tab w:val="clear" w:pos="4153"/>
                <w:tab w:val="clear" w:pos="8306"/>
              </w:tabs>
              <w:jc w:val="both"/>
              <w:rPr>
                <w:rFonts w:ascii="Calibri" w:hAnsi="Calibri"/>
                <w:b/>
                <w:color w:val="FF0000"/>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BDA66" w14:textId="71CBFAED" w:rsidR="008542DE" w:rsidRDefault="003D27A7" w:rsidP="0046548C">
            <w:pPr>
              <w:contextualSpacing/>
              <w:rPr>
                <w:rFonts w:ascii="Calibri" w:hAnsi="Calibri"/>
                <w:b/>
                <w:szCs w:val="22"/>
              </w:rPr>
            </w:pPr>
            <w:r w:rsidRPr="003D27A7">
              <w:rPr>
                <w:rFonts w:ascii="Calibri" w:hAnsi="Calibri"/>
                <w:b/>
                <w:szCs w:val="22"/>
              </w:rPr>
              <w:lastRenderedPageBreak/>
              <w:t>Impact upon Character/appearance of Conservations Area:</w:t>
            </w:r>
          </w:p>
          <w:p w14:paraId="24772BD4" w14:textId="77777777" w:rsidR="003D27A7" w:rsidRPr="00DC67DA" w:rsidRDefault="003D27A7" w:rsidP="0046548C">
            <w:pPr>
              <w:contextualSpacing/>
              <w:rPr>
                <w:rFonts w:ascii="Calibri" w:hAnsi="Calibri"/>
                <w:b/>
                <w:color w:val="FF0000"/>
              </w:rPr>
            </w:pPr>
          </w:p>
          <w:p w14:paraId="4ACC384C" w14:textId="17807B26" w:rsidR="00BB4772" w:rsidRPr="00A10496" w:rsidRDefault="00BB4772" w:rsidP="00DF6086">
            <w:pPr>
              <w:pStyle w:val="Header"/>
              <w:tabs>
                <w:tab w:val="clear" w:pos="4153"/>
                <w:tab w:val="clear" w:pos="8306"/>
              </w:tabs>
              <w:contextualSpacing/>
              <w:jc w:val="both"/>
              <w:rPr>
                <w:rFonts w:asciiTheme="minorHAnsi" w:hAnsiTheme="minorHAnsi" w:cstheme="minorHAnsi"/>
                <w:i/>
                <w:iCs/>
              </w:rPr>
            </w:pPr>
            <w:r w:rsidRPr="00A10496">
              <w:rPr>
                <w:rFonts w:asciiTheme="minorHAnsi" w:hAnsiTheme="minorHAnsi" w:cstheme="minorHAnsi"/>
                <w:bCs/>
                <w:szCs w:val="22"/>
              </w:rPr>
              <w:t xml:space="preserve">The application relates to </w:t>
            </w:r>
            <w:r w:rsidR="008E48E4" w:rsidRPr="00A10496">
              <w:rPr>
                <w:rFonts w:asciiTheme="minorHAnsi" w:hAnsiTheme="minorHAnsi" w:cstheme="minorHAnsi"/>
                <w:bCs/>
                <w:szCs w:val="22"/>
              </w:rPr>
              <w:t xml:space="preserve">mid terrace building </w:t>
            </w:r>
            <w:r w:rsidR="00DF6086" w:rsidRPr="00A10496">
              <w:rPr>
                <w:rFonts w:asciiTheme="minorHAnsi" w:hAnsiTheme="minorHAnsi" w:cstheme="minorHAnsi"/>
                <w:bCs/>
                <w:szCs w:val="22"/>
              </w:rPr>
              <w:t xml:space="preserve">located within the designated </w:t>
            </w:r>
            <w:r w:rsidR="00AB0FF7" w:rsidRPr="00A10496">
              <w:rPr>
                <w:rFonts w:asciiTheme="minorHAnsi" w:hAnsiTheme="minorHAnsi" w:cstheme="minorHAnsi"/>
                <w:bCs/>
                <w:szCs w:val="22"/>
              </w:rPr>
              <w:t>Clitheroe</w:t>
            </w:r>
            <w:r w:rsidR="00DF6086" w:rsidRPr="00A10496">
              <w:rPr>
                <w:rFonts w:asciiTheme="minorHAnsi" w:hAnsiTheme="minorHAnsi" w:cstheme="minorHAnsi"/>
                <w:bCs/>
                <w:szCs w:val="22"/>
              </w:rPr>
              <w:t xml:space="preserve"> Conservation Area.  </w:t>
            </w:r>
            <w:r w:rsidRPr="00A10496">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DC67DA" w:rsidRDefault="00BB4772" w:rsidP="00BB4772">
            <w:pPr>
              <w:contextualSpacing/>
              <w:jc w:val="both"/>
              <w:rPr>
                <w:rFonts w:ascii="Calibri" w:hAnsi="Calibri"/>
                <w:bCs/>
                <w:color w:val="FF0000"/>
              </w:rPr>
            </w:pPr>
          </w:p>
          <w:p w14:paraId="356F7CAE" w14:textId="71F57532" w:rsidR="00AF24C2" w:rsidRPr="006A262A" w:rsidRDefault="00AF24C2" w:rsidP="00BB4772">
            <w:pPr>
              <w:contextualSpacing/>
              <w:jc w:val="both"/>
              <w:rPr>
                <w:rFonts w:ascii="Calibri" w:hAnsi="Calibri"/>
                <w:b/>
                <w:u w:val="single"/>
              </w:rPr>
            </w:pPr>
            <w:r w:rsidRPr="006A262A">
              <w:rPr>
                <w:rFonts w:ascii="Calibri" w:hAnsi="Calibri"/>
                <w:b/>
                <w:u w:val="single"/>
              </w:rPr>
              <w:t>Key Statement EN5:</w:t>
            </w:r>
          </w:p>
          <w:p w14:paraId="06BFF609" w14:textId="77777777" w:rsidR="00AF24C2" w:rsidRPr="006A262A" w:rsidRDefault="00AF24C2" w:rsidP="00BB4772">
            <w:pPr>
              <w:contextualSpacing/>
              <w:jc w:val="both"/>
              <w:rPr>
                <w:rFonts w:ascii="Calibri" w:hAnsi="Calibri"/>
                <w:bCs/>
              </w:rPr>
            </w:pPr>
          </w:p>
          <w:p w14:paraId="56FFE80A" w14:textId="77777777" w:rsidR="00BB4772" w:rsidRPr="006A262A" w:rsidRDefault="00BB4772" w:rsidP="00BB4772">
            <w:pPr>
              <w:contextualSpacing/>
              <w:jc w:val="both"/>
              <w:rPr>
                <w:rFonts w:ascii="Calibri" w:hAnsi="Calibri"/>
                <w:b/>
              </w:rPr>
            </w:pPr>
            <w:r w:rsidRPr="006A262A">
              <w:rPr>
                <w:rFonts w:ascii="Calibri" w:hAnsi="Calibri"/>
                <w:bCs/>
              </w:rPr>
              <w:t>In this respect Key Statement EN5 states that:</w:t>
            </w:r>
          </w:p>
          <w:p w14:paraId="3275A4B2" w14:textId="77777777" w:rsidR="00BB4772" w:rsidRPr="006A262A" w:rsidRDefault="00BB4772" w:rsidP="00BB4772">
            <w:pPr>
              <w:contextualSpacing/>
              <w:rPr>
                <w:rFonts w:ascii="Calibri" w:hAnsi="Calibri"/>
                <w:b/>
              </w:rPr>
            </w:pPr>
          </w:p>
          <w:p w14:paraId="663C0B1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lastRenderedPageBreak/>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6A262A" w:rsidRDefault="00BB4772" w:rsidP="00BB4772">
            <w:pPr>
              <w:jc w:val="both"/>
              <w:rPr>
                <w:rFonts w:asciiTheme="minorHAnsi" w:hAnsiTheme="minorHAnsi" w:cstheme="minorHAnsi"/>
                <w:i/>
                <w:iCs/>
                <w:szCs w:val="22"/>
              </w:rPr>
            </w:pPr>
          </w:p>
          <w:p w14:paraId="092C63B0"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06F8FE5B" w14:textId="77777777" w:rsidR="00BB4772" w:rsidRPr="006A262A" w:rsidRDefault="00BB4772" w:rsidP="00BB4772">
            <w:pPr>
              <w:jc w:val="both"/>
              <w:rPr>
                <w:rFonts w:asciiTheme="minorHAnsi" w:hAnsiTheme="minorHAnsi" w:cstheme="minorHAnsi"/>
                <w:b/>
                <w:bCs/>
                <w:i/>
                <w:iCs/>
                <w:szCs w:val="22"/>
              </w:rPr>
            </w:pPr>
          </w:p>
          <w:p w14:paraId="19428B01"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6A262A" w:rsidRDefault="00BB4772" w:rsidP="00BB4772">
            <w:pPr>
              <w:contextualSpacing/>
              <w:rPr>
                <w:rFonts w:ascii="Calibri" w:hAnsi="Calibri"/>
                <w:b/>
              </w:rPr>
            </w:pPr>
          </w:p>
          <w:p w14:paraId="0C95BD80" w14:textId="18B99530" w:rsidR="00AF24C2" w:rsidRPr="006A262A" w:rsidRDefault="00AF24C2" w:rsidP="00BB4772">
            <w:pPr>
              <w:contextualSpacing/>
              <w:rPr>
                <w:rFonts w:ascii="Calibri" w:hAnsi="Calibri"/>
                <w:b/>
                <w:u w:val="single"/>
              </w:rPr>
            </w:pPr>
            <w:r w:rsidRPr="006A262A">
              <w:rPr>
                <w:rFonts w:ascii="Calibri" w:hAnsi="Calibri"/>
                <w:b/>
                <w:u w:val="single"/>
              </w:rPr>
              <w:t>Policy DME4:</w:t>
            </w:r>
          </w:p>
          <w:p w14:paraId="259D2416" w14:textId="77777777" w:rsidR="00AF24C2" w:rsidRPr="006A262A" w:rsidRDefault="00AF24C2" w:rsidP="00BB4772">
            <w:pPr>
              <w:contextualSpacing/>
              <w:rPr>
                <w:rFonts w:ascii="Calibri" w:hAnsi="Calibri"/>
                <w:b/>
              </w:rPr>
            </w:pPr>
          </w:p>
          <w:p w14:paraId="40B8FD7B" w14:textId="77777777" w:rsidR="00BB4772" w:rsidRPr="006A262A" w:rsidRDefault="00BB4772" w:rsidP="00BB4772">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6A262A" w:rsidRDefault="00BB4772" w:rsidP="00BB4772">
            <w:pPr>
              <w:contextualSpacing/>
              <w:rPr>
                <w:rFonts w:ascii="Calibri" w:hAnsi="Calibri"/>
                <w:b/>
              </w:rPr>
            </w:pPr>
          </w:p>
          <w:p w14:paraId="42B9C1E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6B503452" w14:textId="77777777" w:rsidR="00BB4772" w:rsidRPr="006A262A" w:rsidRDefault="00BB4772" w:rsidP="00BB4772">
            <w:pPr>
              <w:jc w:val="both"/>
              <w:rPr>
                <w:rFonts w:asciiTheme="minorHAnsi" w:hAnsiTheme="minorHAnsi" w:cstheme="minorHAnsi"/>
                <w:b/>
                <w:bCs/>
                <w:i/>
                <w:iCs/>
                <w:szCs w:val="22"/>
                <w:u w:val="single"/>
              </w:rPr>
            </w:pPr>
          </w:p>
          <w:p w14:paraId="7EF42E9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6A262A" w:rsidRDefault="00BB4772" w:rsidP="00BB4772">
            <w:pPr>
              <w:jc w:val="both"/>
              <w:rPr>
                <w:rFonts w:asciiTheme="minorHAnsi" w:hAnsiTheme="minorHAnsi" w:cstheme="minorHAnsi"/>
                <w:i/>
                <w:iCs/>
                <w:szCs w:val="22"/>
              </w:rPr>
            </w:pPr>
          </w:p>
          <w:p w14:paraId="02395E6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6A262A" w:rsidRDefault="00BB4772" w:rsidP="00BB4772">
            <w:pPr>
              <w:jc w:val="both"/>
              <w:rPr>
                <w:rFonts w:asciiTheme="minorHAnsi" w:hAnsiTheme="minorHAnsi" w:cstheme="minorHAnsi"/>
                <w:i/>
                <w:iCs/>
                <w:szCs w:val="22"/>
              </w:rPr>
            </w:pPr>
          </w:p>
          <w:p w14:paraId="398B61FC"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333AD0F2" w14:textId="77777777" w:rsidR="00BB4772" w:rsidRPr="006A262A" w:rsidRDefault="00BB4772" w:rsidP="00BB4772">
            <w:pPr>
              <w:jc w:val="both"/>
              <w:rPr>
                <w:rFonts w:asciiTheme="minorHAnsi" w:hAnsiTheme="minorHAnsi" w:cstheme="minorHAnsi"/>
                <w:i/>
                <w:iCs/>
                <w:szCs w:val="22"/>
              </w:rPr>
            </w:pPr>
          </w:p>
          <w:p w14:paraId="726EA9EE"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6A262A" w:rsidRDefault="00BB4772" w:rsidP="00BB4772">
            <w:pPr>
              <w:contextualSpacing/>
              <w:rPr>
                <w:rFonts w:ascii="Calibri" w:hAnsi="Calibri"/>
                <w:b/>
              </w:rPr>
            </w:pPr>
          </w:p>
          <w:p w14:paraId="74FF117C" w14:textId="6FE462FA" w:rsidR="00AF24C2" w:rsidRPr="006A262A" w:rsidRDefault="00AF24C2" w:rsidP="00BB4772">
            <w:pPr>
              <w:contextualSpacing/>
              <w:rPr>
                <w:rFonts w:ascii="Calibri" w:hAnsi="Calibri"/>
                <w:b/>
                <w:u w:val="single"/>
              </w:rPr>
            </w:pPr>
            <w:r w:rsidRPr="006A262A">
              <w:rPr>
                <w:rFonts w:ascii="Calibri" w:hAnsi="Calibri"/>
                <w:b/>
                <w:u w:val="single"/>
              </w:rPr>
              <w:t>Policy DMG1:</w:t>
            </w:r>
          </w:p>
          <w:p w14:paraId="011FDBC2" w14:textId="77777777" w:rsidR="00AF24C2" w:rsidRPr="006A262A" w:rsidRDefault="00AF24C2" w:rsidP="00BB4772">
            <w:pPr>
              <w:contextualSpacing/>
              <w:rPr>
                <w:rFonts w:ascii="Calibri" w:hAnsi="Calibri"/>
                <w:b/>
              </w:rPr>
            </w:pPr>
          </w:p>
          <w:p w14:paraId="54FA5E0F" w14:textId="77777777" w:rsidR="00BB4772" w:rsidRPr="006A262A" w:rsidRDefault="00BB4772" w:rsidP="00BB4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6A262A" w:rsidRDefault="00BB4772" w:rsidP="00BB4772">
            <w:pPr>
              <w:contextualSpacing/>
              <w:rPr>
                <w:rFonts w:ascii="Calibri" w:hAnsi="Calibri"/>
                <w:b/>
              </w:rPr>
            </w:pPr>
          </w:p>
          <w:p w14:paraId="6174525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68788A8" w14:textId="77777777" w:rsidR="00BB4772" w:rsidRPr="006A262A" w:rsidRDefault="00BB4772" w:rsidP="00BB4772">
            <w:pPr>
              <w:jc w:val="both"/>
              <w:rPr>
                <w:rFonts w:asciiTheme="minorHAnsi" w:hAnsiTheme="minorHAnsi" w:cstheme="minorHAnsi"/>
                <w:i/>
                <w:iCs/>
                <w:szCs w:val="22"/>
              </w:rPr>
            </w:pPr>
          </w:p>
          <w:p w14:paraId="58925F9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269CD12" w14:textId="77777777" w:rsidR="00BB4772" w:rsidRPr="006A262A" w:rsidRDefault="00BB4772" w:rsidP="00BB4772">
            <w:pPr>
              <w:jc w:val="both"/>
              <w:rPr>
                <w:rFonts w:asciiTheme="minorHAnsi" w:hAnsiTheme="minorHAnsi" w:cstheme="minorHAnsi"/>
                <w:i/>
                <w:iCs/>
                <w:szCs w:val="22"/>
              </w:rPr>
            </w:pPr>
          </w:p>
          <w:p w14:paraId="2FECDB45"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6A262A"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18B078A3" w14:textId="77777777" w:rsidR="00BB4772" w:rsidRPr="006A262A" w:rsidRDefault="00BB4772" w:rsidP="00BB4772">
            <w:pPr>
              <w:jc w:val="both"/>
              <w:rPr>
                <w:rFonts w:asciiTheme="minorHAnsi" w:hAnsiTheme="minorHAnsi" w:cstheme="minorHAnsi"/>
                <w:i/>
                <w:iCs/>
                <w:szCs w:val="22"/>
              </w:rPr>
            </w:pPr>
          </w:p>
          <w:p w14:paraId="4510CE32" w14:textId="77777777" w:rsidR="00BB4772" w:rsidRPr="006A262A"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0C32ADB" w14:textId="77777777" w:rsidR="00BB4772" w:rsidRPr="006A262A" w:rsidRDefault="00BB4772" w:rsidP="00BB4772">
            <w:pPr>
              <w:contextualSpacing/>
              <w:rPr>
                <w:rFonts w:ascii="Calibri" w:hAnsi="Calibri"/>
                <w:b/>
              </w:rPr>
            </w:pPr>
          </w:p>
          <w:p w14:paraId="4A4FF377"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783C093F" w14:textId="77777777" w:rsidR="00BB4772" w:rsidRPr="006A262A" w:rsidRDefault="00BB4772" w:rsidP="00BB4772">
            <w:pPr>
              <w:jc w:val="both"/>
              <w:rPr>
                <w:rFonts w:asciiTheme="minorHAnsi" w:hAnsiTheme="minorHAnsi" w:cstheme="minorHAnsi"/>
                <w:i/>
                <w:iCs/>
                <w:szCs w:val="22"/>
              </w:rPr>
            </w:pPr>
          </w:p>
          <w:p w14:paraId="323BC11B" w14:textId="77777777" w:rsidR="00BB4772" w:rsidRPr="006A262A"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396BEF2B" w14:textId="77777777" w:rsidR="00BB4772" w:rsidRPr="006A262A" w:rsidRDefault="00BB4772" w:rsidP="00BB4772">
            <w:pPr>
              <w:contextualSpacing/>
              <w:jc w:val="both"/>
              <w:rPr>
                <w:rFonts w:ascii="Calibri" w:hAnsi="Calibri"/>
                <w:b/>
              </w:rPr>
            </w:pPr>
          </w:p>
          <w:p w14:paraId="553613A2" w14:textId="229D0757" w:rsidR="00AF24C2" w:rsidRPr="006A262A" w:rsidRDefault="00AF24C2" w:rsidP="00BB4772">
            <w:pPr>
              <w:contextualSpacing/>
              <w:jc w:val="both"/>
              <w:rPr>
                <w:rFonts w:ascii="Calibri" w:hAnsi="Calibri"/>
                <w:b/>
                <w:u w:val="single"/>
              </w:rPr>
            </w:pPr>
            <w:r w:rsidRPr="006A262A">
              <w:rPr>
                <w:rFonts w:ascii="Calibri" w:hAnsi="Calibri"/>
                <w:b/>
                <w:u w:val="single"/>
              </w:rPr>
              <w:t>Planning (Listed Building and Conservation Areas) Act 1990:</w:t>
            </w:r>
          </w:p>
          <w:p w14:paraId="7D04EA45" w14:textId="77777777" w:rsidR="00AF24C2" w:rsidRPr="006A262A" w:rsidRDefault="00AF24C2" w:rsidP="00BB4772">
            <w:pPr>
              <w:contextualSpacing/>
              <w:jc w:val="both"/>
              <w:rPr>
                <w:rFonts w:ascii="Calibri" w:hAnsi="Calibri"/>
                <w:b/>
              </w:rPr>
            </w:pPr>
          </w:p>
          <w:p w14:paraId="7CC30D99" w14:textId="77777777" w:rsidR="00BB4772" w:rsidRPr="006A262A" w:rsidRDefault="00BB4772" w:rsidP="00BB4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6A262A" w:rsidRDefault="00BB4772" w:rsidP="00BB4772">
            <w:pPr>
              <w:contextualSpacing/>
              <w:jc w:val="both"/>
              <w:rPr>
                <w:rFonts w:ascii="Calibri" w:hAnsi="Calibri"/>
                <w:bCs/>
              </w:rPr>
            </w:pPr>
          </w:p>
          <w:p w14:paraId="74AB8432" w14:textId="77777777" w:rsidR="00BB4772" w:rsidRPr="006A262A" w:rsidRDefault="00BB4772" w:rsidP="00BB4772">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6A262A" w:rsidRDefault="00BB4772" w:rsidP="00BB4772">
            <w:pPr>
              <w:contextualSpacing/>
              <w:jc w:val="both"/>
              <w:rPr>
                <w:rFonts w:ascii="Calibri" w:hAnsi="Calibri"/>
                <w:b/>
              </w:rPr>
            </w:pPr>
          </w:p>
          <w:p w14:paraId="318AC6E7" w14:textId="77777777" w:rsidR="00BB4772" w:rsidRPr="006A262A" w:rsidRDefault="00BB4772" w:rsidP="00BB4772">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33FD5294"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6A262A" w:rsidRDefault="00BB4772" w:rsidP="00BB4772">
            <w:pPr>
              <w:contextualSpacing/>
              <w:jc w:val="both"/>
              <w:rPr>
                <w:rFonts w:ascii="Calibri" w:hAnsi="Calibri"/>
                <w:b/>
              </w:rPr>
            </w:pPr>
          </w:p>
          <w:p w14:paraId="2B3DC830" w14:textId="77777777" w:rsidR="00BB4772" w:rsidRPr="006A262A" w:rsidRDefault="00BB4772" w:rsidP="00BB4772">
            <w:pPr>
              <w:contextualSpacing/>
              <w:jc w:val="both"/>
              <w:rPr>
                <w:rFonts w:ascii="Calibri" w:hAnsi="Calibri"/>
                <w:b/>
              </w:rPr>
            </w:pPr>
            <w:r w:rsidRPr="006A262A">
              <w:rPr>
                <w:rFonts w:ascii="Calibri" w:hAnsi="Calibri"/>
                <w:b/>
              </w:rPr>
              <w:t>Listed buildings - Section 16 (2) (as amended by s.58B of Levelling-up and Regeneration Act 2023):</w:t>
            </w:r>
          </w:p>
          <w:p w14:paraId="7C35947A"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6A262A" w:rsidRDefault="00AF24C2" w:rsidP="00BB4772">
            <w:pPr>
              <w:contextualSpacing/>
              <w:jc w:val="both"/>
              <w:rPr>
                <w:rFonts w:ascii="Calibri" w:hAnsi="Calibri"/>
                <w:bCs/>
              </w:rPr>
            </w:pPr>
          </w:p>
          <w:p w14:paraId="1B4BCF87" w14:textId="70099345" w:rsidR="00AF24C2" w:rsidRPr="006A262A" w:rsidRDefault="00AF24C2" w:rsidP="00BB4772">
            <w:pPr>
              <w:contextualSpacing/>
              <w:jc w:val="both"/>
              <w:rPr>
                <w:rFonts w:ascii="Calibri" w:hAnsi="Calibri"/>
                <w:b/>
                <w:u w:val="single"/>
              </w:rPr>
            </w:pPr>
            <w:r w:rsidRPr="006A262A">
              <w:rPr>
                <w:rFonts w:ascii="Calibri" w:hAnsi="Calibri"/>
                <w:b/>
                <w:u w:val="single"/>
              </w:rPr>
              <w:t>National Planning Policy Framework (December 2023):</w:t>
            </w:r>
          </w:p>
          <w:p w14:paraId="301744C0" w14:textId="77777777" w:rsidR="00AF24C2" w:rsidRPr="006A262A" w:rsidRDefault="00AF24C2" w:rsidP="00BB4772">
            <w:pPr>
              <w:contextualSpacing/>
              <w:jc w:val="both"/>
              <w:rPr>
                <w:rFonts w:ascii="Calibri" w:hAnsi="Calibri"/>
                <w:bCs/>
              </w:rPr>
            </w:pPr>
          </w:p>
          <w:p w14:paraId="01FE65D3" w14:textId="0D09F74E" w:rsidR="00AF24C2" w:rsidRPr="006A262A" w:rsidRDefault="00AF24C2" w:rsidP="00BB4772">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6A262A" w:rsidRDefault="0046548C" w:rsidP="0046548C">
            <w:pPr>
              <w:contextualSpacing/>
              <w:rPr>
                <w:rFonts w:ascii="Calibri" w:hAnsi="Calibri"/>
                <w:b/>
              </w:rPr>
            </w:pPr>
          </w:p>
          <w:p w14:paraId="761B1E60" w14:textId="32DEA458" w:rsidR="00AF24C2" w:rsidRPr="006A262A" w:rsidRDefault="00AF24C2" w:rsidP="0046548C">
            <w:pPr>
              <w:contextualSpacing/>
              <w:rPr>
                <w:rFonts w:ascii="Calibri" w:hAnsi="Calibri"/>
                <w:bCs/>
              </w:rPr>
            </w:pPr>
            <w:r w:rsidRPr="006A262A">
              <w:rPr>
                <w:rFonts w:ascii="Calibri" w:hAnsi="Calibri"/>
                <w:bCs/>
              </w:rPr>
              <w:lastRenderedPageBreak/>
              <w:t>The Framework sets out further duties in respect of considering potential impacts upon designated heritage assets with Paragraphs 205 – 214 reading as follows:</w:t>
            </w:r>
          </w:p>
          <w:p w14:paraId="78C66ED0" w14:textId="77777777" w:rsidR="00AF24C2" w:rsidRPr="006A262A" w:rsidRDefault="00AF24C2" w:rsidP="0046548C">
            <w:pPr>
              <w:contextualSpacing/>
              <w:rPr>
                <w:rFonts w:ascii="Calibri" w:hAnsi="Calibri"/>
                <w:b/>
              </w:rPr>
            </w:pPr>
          </w:p>
          <w:p w14:paraId="2827B919" w14:textId="5B96D3BF" w:rsidR="000748C5" w:rsidRPr="006A262A" w:rsidRDefault="000748C5" w:rsidP="0046548C">
            <w:pPr>
              <w:contextualSpacing/>
              <w:rPr>
                <w:rFonts w:ascii="Calibri" w:hAnsi="Calibri"/>
                <w:b/>
              </w:rPr>
            </w:pPr>
            <w:r w:rsidRPr="006A262A">
              <w:rPr>
                <w:rFonts w:ascii="Calibri" w:hAnsi="Calibri"/>
                <w:b/>
              </w:rPr>
              <w:t>Considering Potential Impacts:</w:t>
            </w:r>
          </w:p>
          <w:p w14:paraId="44D81E96" w14:textId="77777777" w:rsidR="000748C5" w:rsidRPr="006A262A" w:rsidRDefault="000748C5" w:rsidP="0046548C">
            <w:pPr>
              <w:contextualSpacing/>
              <w:rPr>
                <w:rFonts w:ascii="Calibri" w:hAnsi="Calibri"/>
                <w:b/>
              </w:rPr>
            </w:pPr>
          </w:p>
          <w:p w14:paraId="1CCAB45C" w14:textId="58C0502B"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2D7731EA" w14:textId="6335AA1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6A262A" w:rsidRDefault="00423DFB" w:rsidP="000748C5">
            <w:pPr>
              <w:pStyle w:val="Default"/>
              <w:jc w:val="both"/>
              <w:rPr>
                <w:rFonts w:asciiTheme="minorHAnsi" w:hAnsiTheme="minorHAnsi" w:cstheme="minorHAnsi"/>
                <w:i/>
                <w:iCs/>
                <w:color w:val="auto"/>
                <w:sz w:val="22"/>
                <w:szCs w:val="22"/>
              </w:rPr>
            </w:pPr>
          </w:p>
          <w:p w14:paraId="34704A15" w14:textId="5271ABD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550EBFCD" w14:textId="34BC3CAB"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6A262A" w:rsidRDefault="00423DFB" w:rsidP="000748C5">
            <w:pPr>
              <w:pStyle w:val="Default"/>
              <w:jc w:val="both"/>
              <w:rPr>
                <w:rFonts w:asciiTheme="minorHAnsi" w:hAnsiTheme="minorHAnsi" w:cstheme="minorHAnsi"/>
                <w:i/>
                <w:iCs/>
                <w:color w:val="auto"/>
                <w:sz w:val="22"/>
                <w:szCs w:val="22"/>
              </w:rPr>
            </w:pPr>
          </w:p>
          <w:p w14:paraId="6D90778D" w14:textId="77777777" w:rsidR="00423DFB" w:rsidRPr="006A262A" w:rsidRDefault="00423DFB" w:rsidP="000748C5">
            <w:pPr>
              <w:pStyle w:val="Default"/>
              <w:numPr>
                <w:ilvl w:val="0"/>
                <w:numId w:val="14"/>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6A262A" w:rsidRDefault="00423DFB" w:rsidP="000748C5">
            <w:pPr>
              <w:pStyle w:val="Default"/>
              <w:numPr>
                <w:ilvl w:val="0"/>
                <w:numId w:val="14"/>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6A262A" w:rsidRDefault="00423DFB" w:rsidP="000748C5">
            <w:pPr>
              <w:pStyle w:val="Default"/>
              <w:jc w:val="both"/>
              <w:rPr>
                <w:rFonts w:asciiTheme="minorHAnsi" w:hAnsiTheme="minorHAnsi" w:cstheme="minorHAnsi"/>
                <w:i/>
                <w:iCs/>
                <w:color w:val="auto"/>
                <w:sz w:val="22"/>
                <w:szCs w:val="22"/>
              </w:rPr>
            </w:pPr>
          </w:p>
          <w:p w14:paraId="24EDA5E4" w14:textId="4EA67902"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463966CF" w14:textId="5A4757EE"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6A262A" w:rsidRDefault="00423DFB" w:rsidP="000748C5">
            <w:pPr>
              <w:pStyle w:val="Default"/>
              <w:jc w:val="both"/>
              <w:rPr>
                <w:rFonts w:asciiTheme="minorHAnsi" w:hAnsiTheme="minorHAnsi" w:cstheme="minorHAnsi"/>
                <w:i/>
                <w:iCs/>
                <w:color w:val="auto"/>
                <w:sz w:val="22"/>
                <w:szCs w:val="22"/>
              </w:rPr>
            </w:pPr>
          </w:p>
          <w:p w14:paraId="087C0536"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6A262A" w:rsidRDefault="00AF24C2" w:rsidP="000748C5">
            <w:pPr>
              <w:contextualSpacing/>
              <w:jc w:val="both"/>
              <w:rPr>
                <w:rFonts w:asciiTheme="minorHAnsi" w:hAnsiTheme="minorHAnsi" w:cstheme="minorHAnsi"/>
                <w:b/>
                <w:i/>
                <w:iCs/>
                <w:szCs w:val="22"/>
              </w:rPr>
            </w:pPr>
          </w:p>
          <w:p w14:paraId="0005790F" w14:textId="74EC69C0" w:rsidR="00423DFB" w:rsidRPr="006A262A" w:rsidRDefault="005C2CD0"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D01D57D" w14:textId="08ADBA67"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6A262A" w:rsidRDefault="00423DFB" w:rsidP="000748C5">
            <w:pPr>
              <w:pStyle w:val="Default"/>
              <w:jc w:val="both"/>
              <w:rPr>
                <w:rFonts w:asciiTheme="minorHAnsi" w:hAnsiTheme="minorHAnsi" w:cstheme="minorHAnsi"/>
                <w:i/>
                <w:iCs/>
                <w:color w:val="auto"/>
                <w:sz w:val="22"/>
                <w:szCs w:val="22"/>
              </w:rPr>
            </w:pPr>
          </w:p>
          <w:p w14:paraId="40F6F320" w14:textId="2D5D3968"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r w:rsidR="005C2CD0" w:rsidRPr="006A262A">
              <w:rPr>
                <w:rFonts w:asciiTheme="minorHAnsi" w:hAnsiTheme="minorHAnsi" w:cstheme="minorHAnsi"/>
                <w:i/>
                <w:iCs/>
                <w:color w:val="auto"/>
                <w:sz w:val="22"/>
                <w:szCs w:val="22"/>
              </w:rPr>
              <w:t>:</w:t>
            </w:r>
          </w:p>
          <w:p w14:paraId="07B6EBCB" w14:textId="57610B2F"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6A262A" w:rsidRDefault="00423DFB" w:rsidP="000748C5">
            <w:pPr>
              <w:pStyle w:val="Default"/>
              <w:jc w:val="both"/>
              <w:rPr>
                <w:rFonts w:asciiTheme="minorHAnsi" w:hAnsiTheme="minorHAnsi" w:cstheme="minorHAnsi"/>
                <w:i/>
                <w:iCs/>
                <w:color w:val="auto"/>
                <w:sz w:val="22"/>
                <w:szCs w:val="22"/>
              </w:rPr>
            </w:pPr>
          </w:p>
          <w:p w14:paraId="2F8108C6"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r w:rsidR="005C2CD0" w:rsidRPr="006A262A">
              <w:rPr>
                <w:rFonts w:asciiTheme="minorHAnsi" w:hAnsiTheme="minorHAnsi" w:cstheme="minorHAnsi"/>
                <w:i/>
                <w:iCs/>
                <w:color w:val="auto"/>
                <w:sz w:val="22"/>
                <w:szCs w:val="22"/>
              </w:rPr>
              <w:t>:</w:t>
            </w:r>
          </w:p>
          <w:p w14:paraId="612A9571" w14:textId="17298932"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6A262A" w:rsidRDefault="00423DFB" w:rsidP="000748C5">
            <w:pPr>
              <w:pStyle w:val="Default"/>
              <w:jc w:val="both"/>
              <w:rPr>
                <w:rFonts w:asciiTheme="minorHAnsi" w:hAnsiTheme="minorHAnsi" w:cstheme="minorHAnsi"/>
                <w:i/>
                <w:iCs/>
                <w:color w:val="auto"/>
                <w:sz w:val="22"/>
                <w:szCs w:val="22"/>
              </w:rPr>
            </w:pPr>
          </w:p>
          <w:p w14:paraId="4503FA31"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r w:rsidR="005C2CD0" w:rsidRPr="006A262A">
              <w:rPr>
                <w:rFonts w:asciiTheme="minorHAnsi" w:hAnsiTheme="minorHAnsi" w:cstheme="minorHAnsi"/>
                <w:i/>
                <w:iCs/>
                <w:color w:val="auto"/>
                <w:sz w:val="22"/>
                <w:szCs w:val="22"/>
              </w:rPr>
              <w:t>:</w:t>
            </w:r>
          </w:p>
          <w:p w14:paraId="4B4AE602" w14:textId="57A0F44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6A262A" w:rsidRDefault="00423DFB" w:rsidP="000748C5">
            <w:pPr>
              <w:pStyle w:val="Default"/>
              <w:jc w:val="both"/>
              <w:rPr>
                <w:rFonts w:asciiTheme="minorHAnsi" w:hAnsiTheme="minorHAnsi" w:cstheme="minorHAnsi"/>
                <w:i/>
                <w:iCs/>
                <w:color w:val="auto"/>
                <w:sz w:val="22"/>
                <w:szCs w:val="22"/>
              </w:rPr>
            </w:pPr>
          </w:p>
          <w:p w14:paraId="7E904396"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lastRenderedPageBreak/>
              <w:t>212</w:t>
            </w:r>
            <w:r w:rsidR="005C2CD0" w:rsidRPr="006A262A">
              <w:rPr>
                <w:rFonts w:asciiTheme="minorHAnsi" w:hAnsiTheme="minorHAnsi" w:cstheme="minorHAnsi"/>
                <w:i/>
                <w:iCs/>
                <w:color w:val="auto"/>
                <w:sz w:val="22"/>
                <w:szCs w:val="22"/>
              </w:rPr>
              <w:t>:</w:t>
            </w:r>
          </w:p>
          <w:p w14:paraId="69770A53" w14:textId="705B6DCD"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6A262A" w:rsidRDefault="00423DFB" w:rsidP="000748C5">
            <w:pPr>
              <w:pStyle w:val="Default"/>
              <w:jc w:val="both"/>
              <w:rPr>
                <w:rFonts w:asciiTheme="minorHAnsi" w:hAnsiTheme="minorHAnsi" w:cstheme="minorHAnsi"/>
                <w:i/>
                <w:iCs/>
                <w:color w:val="auto"/>
                <w:sz w:val="22"/>
                <w:szCs w:val="22"/>
              </w:rPr>
            </w:pPr>
          </w:p>
          <w:p w14:paraId="42A30D5E"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r w:rsidR="005C2CD0" w:rsidRPr="006A262A">
              <w:rPr>
                <w:rFonts w:asciiTheme="minorHAnsi" w:hAnsiTheme="minorHAnsi" w:cstheme="minorHAnsi"/>
                <w:i/>
                <w:iCs/>
                <w:color w:val="auto"/>
                <w:sz w:val="22"/>
                <w:szCs w:val="22"/>
              </w:rPr>
              <w:t>:</w:t>
            </w:r>
          </w:p>
          <w:p w14:paraId="5D67260B" w14:textId="148A3308"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6A262A">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DC67DA" w:rsidRDefault="0059127F" w:rsidP="0046548C">
            <w:pPr>
              <w:contextualSpacing/>
              <w:rPr>
                <w:rFonts w:ascii="Calibri" w:hAnsi="Calibri"/>
                <w:b/>
                <w:color w:val="FF0000"/>
              </w:rPr>
            </w:pPr>
          </w:p>
          <w:p w14:paraId="57357F71" w14:textId="3E05A2ED" w:rsidR="0059127F" w:rsidRPr="00A10496" w:rsidRDefault="0059127F" w:rsidP="0046548C">
            <w:pPr>
              <w:contextualSpacing/>
              <w:rPr>
                <w:rFonts w:ascii="Calibri" w:hAnsi="Calibri"/>
                <w:b/>
              </w:rPr>
            </w:pPr>
            <w:r w:rsidRPr="00A10496">
              <w:rPr>
                <w:rFonts w:ascii="Calibri" w:hAnsi="Calibri"/>
                <w:b/>
              </w:rPr>
              <w:t>Assessment of Impacts:</w:t>
            </w:r>
          </w:p>
          <w:p w14:paraId="06ED3A6E" w14:textId="77777777" w:rsidR="008F30D9" w:rsidRPr="00AB0FF7" w:rsidRDefault="008F30D9" w:rsidP="008F30D9">
            <w:pPr>
              <w:jc w:val="both"/>
              <w:rPr>
                <w:rFonts w:ascii="Calibri" w:hAnsi="Calibri"/>
                <w:bCs/>
                <w:color w:val="FF0000"/>
                <w:szCs w:val="22"/>
              </w:rPr>
            </w:pPr>
          </w:p>
          <w:p w14:paraId="34191E72" w14:textId="4B03B4E5" w:rsidR="00495E9C" w:rsidRPr="00602391" w:rsidRDefault="00602391" w:rsidP="003D27A7">
            <w:pPr>
              <w:contextualSpacing/>
              <w:jc w:val="both"/>
              <w:rPr>
                <w:rFonts w:ascii="Calibri" w:hAnsi="Calibri"/>
                <w:szCs w:val="22"/>
              </w:rPr>
            </w:pPr>
            <w:r w:rsidRPr="00602391">
              <w:rPr>
                <w:rFonts w:ascii="Calibri" w:hAnsi="Calibri"/>
                <w:szCs w:val="22"/>
              </w:rPr>
              <w:t xml:space="preserve">The application seeks consent for a change of use of the building from that of an existing drinking establishment (Sui generis) to that of a Travel Agency (Class E).  The submitted details do not propose any external alterations to the building, with it being proposed that the internal layout of the building will be utilised in its current configuration.  In this respect the proposed change of use will not result in any measurable visual change nor measurable visual impacts upon the character or visual amenities of the </w:t>
            </w:r>
            <w:r w:rsidRPr="00602391">
              <w:rPr>
                <w:rFonts w:ascii="Calibri" w:hAnsi="Calibri"/>
                <w:bCs/>
              </w:rPr>
              <w:t>designated Clitheroe Conservation Area.</w:t>
            </w:r>
          </w:p>
          <w:p w14:paraId="4C2517DA" w14:textId="77777777" w:rsidR="00602391" w:rsidRPr="00AB0FF7" w:rsidRDefault="00602391" w:rsidP="003D27A7">
            <w:pPr>
              <w:contextualSpacing/>
              <w:jc w:val="both"/>
              <w:rPr>
                <w:rFonts w:ascii="Calibri" w:hAnsi="Calibri"/>
                <w:bCs/>
                <w:color w:val="FF0000"/>
              </w:rPr>
            </w:pPr>
          </w:p>
          <w:p w14:paraId="55F8CABB" w14:textId="361790AD" w:rsidR="000748C5" w:rsidRPr="00A10496" w:rsidRDefault="003D27A7" w:rsidP="003D27A7">
            <w:pPr>
              <w:contextualSpacing/>
              <w:jc w:val="both"/>
              <w:rPr>
                <w:rFonts w:ascii="Calibri" w:hAnsi="Calibri"/>
                <w:bCs/>
              </w:rPr>
            </w:pPr>
            <w:r w:rsidRPr="00A10496">
              <w:rPr>
                <w:rFonts w:ascii="Calibri" w:hAnsi="Calibri"/>
                <w:bCs/>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w:t>
            </w:r>
            <w:r w:rsidR="00A10496" w:rsidRPr="00A10496">
              <w:rPr>
                <w:rFonts w:ascii="Calibri" w:hAnsi="Calibri"/>
                <w:bCs/>
              </w:rPr>
              <w:t>Clitheroe</w:t>
            </w:r>
            <w:r w:rsidRPr="00A10496">
              <w:rPr>
                <w:rFonts w:ascii="Calibri" w:hAnsi="Calibri"/>
                <w:bCs/>
              </w:rPr>
              <w:t xml:space="preserve"> Conservation Area.</w:t>
            </w:r>
          </w:p>
          <w:p w14:paraId="632BE018" w14:textId="61732674" w:rsidR="003D27A7" w:rsidRPr="00DC67DA" w:rsidRDefault="003D27A7" w:rsidP="003D27A7">
            <w:pPr>
              <w:contextualSpacing/>
              <w:jc w:val="both"/>
              <w:rPr>
                <w:rFonts w:ascii="Calibri" w:hAnsi="Calibri"/>
                <w:b/>
                <w:color w:val="FF0000"/>
              </w:rPr>
            </w:pPr>
          </w:p>
        </w:tc>
      </w:tr>
      <w:tr w:rsidR="00D15787" w:rsidRPr="00D2449B" w14:paraId="130ED00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D627A" w14:textId="77777777" w:rsidR="00D15787" w:rsidRDefault="00D15787" w:rsidP="00D1578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682A75A" w14:textId="77777777" w:rsidR="00D15787" w:rsidRDefault="00D15787" w:rsidP="0046548C">
            <w:pPr>
              <w:contextualSpacing/>
              <w:rPr>
                <w:rFonts w:ascii="Calibri" w:hAnsi="Calibri"/>
                <w:b/>
                <w:szCs w:val="22"/>
              </w:rPr>
            </w:pPr>
          </w:p>
          <w:p w14:paraId="561D6489" w14:textId="0CDFE3DB" w:rsidR="002A325A" w:rsidRPr="005752DA" w:rsidRDefault="00A5755C" w:rsidP="00A5755C">
            <w:pPr>
              <w:contextualSpacing/>
              <w:jc w:val="both"/>
              <w:rPr>
                <w:rFonts w:ascii="Calibri" w:hAnsi="Calibri"/>
                <w:bCs/>
                <w:szCs w:val="22"/>
              </w:rPr>
            </w:pPr>
            <w:r w:rsidRPr="005752DA">
              <w:rPr>
                <w:rFonts w:ascii="Calibri" w:hAnsi="Calibri"/>
                <w:bCs/>
                <w:szCs w:val="22"/>
              </w:rPr>
              <w:t>The application relates to a</w:t>
            </w:r>
            <w:r w:rsidR="00A36578" w:rsidRPr="005752DA">
              <w:rPr>
                <w:rFonts w:ascii="Calibri" w:hAnsi="Calibri"/>
                <w:bCs/>
                <w:szCs w:val="22"/>
              </w:rPr>
              <w:t xml:space="preserve">n existing </w:t>
            </w:r>
            <w:r w:rsidRPr="005752DA">
              <w:rPr>
                <w:rFonts w:ascii="Calibri" w:hAnsi="Calibri"/>
                <w:bCs/>
                <w:szCs w:val="22"/>
              </w:rPr>
              <w:t xml:space="preserve">commercial premises within the designated Main Centre Boundary of the settlement of </w:t>
            </w:r>
            <w:r w:rsidR="00A36578" w:rsidRPr="005752DA">
              <w:rPr>
                <w:rFonts w:ascii="Calibri" w:hAnsi="Calibri"/>
                <w:bCs/>
                <w:szCs w:val="22"/>
              </w:rPr>
              <w:t>Clitheroe</w:t>
            </w:r>
            <w:r w:rsidR="005752DA" w:rsidRPr="005752DA">
              <w:rPr>
                <w:rFonts w:ascii="Calibri" w:hAnsi="Calibri"/>
                <w:bCs/>
                <w:szCs w:val="22"/>
              </w:rPr>
              <w:t xml:space="preserve"> with the neighbouring premises number 38 king Street accommodating a residential apartment at first floor, known as 38A King Street.  As such consideration must be given in respect of the potential for the proposal to result measurable impacts upon the residential amenities of occupiers of the dwelling or any other nearby residential receptors.</w:t>
            </w:r>
          </w:p>
          <w:p w14:paraId="216A46B9" w14:textId="77777777" w:rsidR="00A36578" w:rsidRDefault="00A36578" w:rsidP="00A5755C">
            <w:pPr>
              <w:contextualSpacing/>
              <w:jc w:val="both"/>
              <w:rPr>
                <w:rFonts w:ascii="Calibri" w:hAnsi="Calibri"/>
                <w:b/>
                <w:szCs w:val="22"/>
              </w:rPr>
            </w:pPr>
          </w:p>
          <w:p w14:paraId="53C6CD3C" w14:textId="3C82B217" w:rsidR="00A36578" w:rsidRPr="00A36578" w:rsidRDefault="005752DA" w:rsidP="00A5755C">
            <w:pPr>
              <w:contextualSpacing/>
              <w:jc w:val="both"/>
              <w:rPr>
                <w:rFonts w:ascii="Calibri" w:hAnsi="Calibri"/>
                <w:bCs/>
                <w:szCs w:val="22"/>
              </w:rPr>
            </w:pPr>
            <w:r>
              <w:rPr>
                <w:rFonts w:ascii="Calibri" w:hAnsi="Calibri"/>
                <w:bCs/>
                <w:szCs w:val="22"/>
              </w:rPr>
              <w:t xml:space="preserve">In this respect the </w:t>
            </w:r>
            <w:r w:rsidR="00A36578" w:rsidRPr="00A36578">
              <w:rPr>
                <w:rFonts w:ascii="Calibri" w:hAnsi="Calibri"/>
                <w:bCs/>
                <w:szCs w:val="22"/>
              </w:rPr>
              <w:t>submitted details propose that the Class E use will operate between the hours of:</w:t>
            </w:r>
          </w:p>
          <w:p w14:paraId="3E5C12CB" w14:textId="77777777" w:rsidR="00A36578" w:rsidRPr="00A36578" w:rsidRDefault="00A36578" w:rsidP="00A5755C">
            <w:pPr>
              <w:contextualSpacing/>
              <w:jc w:val="both"/>
              <w:rPr>
                <w:rFonts w:ascii="Calibri" w:hAnsi="Calibri"/>
                <w:bCs/>
                <w:szCs w:val="22"/>
              </w:rPr>
            </w:pPr>
          </w:p>
          <w:p w14:paraId="42B6614A" w14:textId="68EF6189" w:rsidR="00A36578" w:rsidRPr="00A36578" w:rsidRDefault="00A36578" w:rsidP="00A36578">
            <w:pPr>
              <w:pStyle w:val="ListParagraph"/>
              <w:numPr>
                <w:ilvl w:val="0"/>
                <w:numId w:val="22"/>
              </w:numPr>
              <w:jc w:val="both"/>
              <w:rPr>
                <w:rFonts w:ascii="Calibri" w:hAnsi="Calibri"/>
                <w:bCs/>
                <w:szCs w:val="22"/>
              </w:rPr>
            </w:pPr>
            <w:r w:rsidRPr="00A36578">
              <w:rPr>
                <w:rFonts w:ascii="Calibri" w:hAnsi="Calibri"/>
                <w:bCs/>
                <w:szCs w:val="22"/>
              </w:rPr>
              <w:t xml:space="preserve">Monday to Friday: 09:00hrs to 17:00hrs </w:t>
            </w:r>
          </w:p>
          <w:p w14:paraId="68D8B13B" w14:textId="5011CD04" w:rsidR="00A36578" w:rsidRPr="00A36578" w:rsidRDefault="00A36578" w:rsidP="00A36578">
            <w:pPr>
              <w:pStyle w:val="ListParagraph"/>
              <w:numPr>
                <w:ilvl w:val="0"/>
                <w:numId w:val="22"/>
              </w:numPr>
              <w:jc w:val="both"/>
              <w:rPr>
                <w:rFonts w:ascii="Calibri" w:hAnsi="Calibri"/>
                <w:bCs/>
                <w:szCs w:val="22"/>
              </w:rPr>
            </w:pPr>
            <w:r w:rsidRPr="00A36578">
              <w:rPr>
                <w:rFonts w:ascii="Calibri" w:hAnsi="Calibri"/>
                <w:bCs/>
                <w:szCs w:val="22"/>
              </w:rPr>
              <w:t>Saturdays: 09:00hrs to 12:30Hrs</w:t>
            </w:r>
          </w:p>
          <w:p w14:paraId="63686A87" w14:textId="77777777" w:rsidR="00A36578" w:rsidRPr="00A36578" w:rsidRDefault="00A36578" w:rsidP="00A5755C">
            <w:pPr>
              <w:contextualSpacing/>
              <w:jc w:val="both"/>
              <w:rPr>
                <w:rFonts w:ascii="Calibri" w:hAnsi="Calibri"/>
                <w:bCs/>
                <w:szCs w:val="22"/>
              </w:rPr>
            </w:pPr>
          </w:p>
          <w:p w14:paraId="1C3C61AD" w14:textId="7EF4C854" w:rsidR="00A36578" w:rsidRPr="00A36578" w:rsidRDefault="00A36578" w:rsidP="00A5755C">
            <w:pPr>
              <w:contextualSpacing/>
              <w:jc w:val="both"/>
              <w:rPr>
                <w:rFonts w:ascii="Calibri" w:hAnsi="Calibri"/>
                <w:bCs/>
                <w:szCs w:val="22"/>
              </w:rPr>
            </w:pPr>
            <w:r w:rsidRPr="00A36578">
              <w:rPr>
                <w:rFonts w:ascii="Calibri" w:hAnsi="Calibri"/>
                <w:bCs/>
                <w:szCs w:val="22"/>
              </w:rPr>
              <w:t>With the current Sui generis use currently occupying the building (pursuant to permission 3/2020/0714) operating on the following basis:</w:t>
            </w:r>
          </w:p>
          <w:p w14:paraId="566ACB63" w14:textId="77777777" w:rsidR="00A36578" w:rsidRPr="00A36578" w:rsidRDefault="00A36578" w:rsidP="00A5755C">
            <w:pPr>
              <w:contextualSpacing/>
              <w:jc w:val="both"/>
              <w:rPr>
                <w:rFonts w:ascii="Calibri" w:hAnsi="Calibri"/>
                <w:bCs/>
                <w:szCs w:val="22"/>
              </w:rPr>
            </w:pPr>
          </w:p>
          <w:p w14:paraId="5AF60898" w14:textId="557586A8" w:rsidR="00A36578" w:rsidRPr="00A36578" w:rsidRDefault="00A36578" w:rsidP="00A36578">
            <w:pPr>
              <w:pStyle w:val="ListParagraph"/>
              <w:numPr>
                <w:ilvl w:val="0"/>
                <w:numId w:val="23"/>
              </w:numPr>
              <w:jc w:val="both"/>
              <w:rPr>
                <w:rFonts w:ascii="Calibri" w:hAnsi="Calibri"/>
                <w:bCs/>
                <w:szCs w:val="22"/>
              </w:rPr>
            </w:pPr>
            <w:r w:rsidRPr="00A36578">
              <w:rPr>
                <w:rFonts w:ascii="Calibri" w:hAnsi="Calibri"/>
                <w:bCs/>
                <w:szCs w:val="22"/>
              </w:rPr>
              <w:t>Monday to Friday: 11:00hrs to 22:00hrs</w:t>
            </w:r>
          </w:p>
          <w:p w14:paraId="77BFB685" w14:textId="68030F56" w:rsidR="00A36578" w:rsidRPr="00A36578" w:rsidRDefault="00A36578" w:rsidP="00A36578">
            <w:pPr>
              <w:pStyle w:val="ListParagraph"/>
              <w:numPr>
                <w:ilvl w:val="0"/>
                <w:numId w:val="23"/>
              </w:numPr>
              <w:jc w:val="both"/>
              <w:rPr>
                <w:rFonts w:ascii="Calibri" w:hAnsi="Calibri"/>
                <w:bCs/>
                <w:szCs w:val="22"/>
              </w:rPr>
            </w:pPr>
            <w:r w:rsidRPr="00A36578">
              <w:rPr>
                <w:rFonts w:ascii="Calibri" w:hAnsi="Calibri"/>
                <w:bCs/>
                <w:szCs w:val="22"/>
              </w:rPr>
              <w:t>Saturdays: 11:00hrs to 23:00hrs</w:t>
            </w:r>
          </w:p>
          <w:p w14:paraId="7D220D54" w14:textId="670700BC" w:rsidR="00A36578" w:rsidRDefault="00A36578" w:rsidP="00A36578">
            <w:pPr>
              <w:pStyle w:val="ListParagraph"/>
              <w:numPr>
                <w:ilvl w:val="0"/>
                <w:numId w:val="23"/>
              </w:numPr>
              <w:jc w:val="both"/>
              <w:rPr>
                <w:rFonts w:ascii="Calibri" w:hAnsi="Calibri"/>
                <w:bCs/>
                <w:szCs w:val="22"/>
              </w:rPr>
            </w:pPr>
            <w:r w:rsidRPr="00A36578">
              <w:rPr>
                <w:rFonts w:ascii="Calibri" w:hAnsi="Calibri"/>
                <w:bCs/>
                <w:szCs w:val="22"/>
              </w:rPr>
              <w:t>Sundays and Bank Holidays: 11:00hrs to 22:00hrs</w:t>
            </w:r>
          </w:p>
          <w:p w14:paraId="17436A82" w14:textId="77777777" w:rsidR="00A36578" w:rsidRDefault="00A36578" w:rsidP="00A36578">
            <w:pPr>
              <w:jc w:val="both"/>
              <w:rPr>
                <w:rFonts w:ascii="Calibri" w:hAnsi="Calibri"/>
                <w:bCs/>
                <w:szCs w:val="22"/>
              </w:rPr>
            </w:pPr>
          </w:p>
          <w:p w14:paraId="77D62237" w14:textId="42CB679E" w:rsidR="00A36578" w:rsidRPr="00A36578" w:rsidRDefault="00A36578" w:rsidP="00A36578">
            <w:pPr>
              <w:jc w:val="both"/>
              <w:rPr>
                <w:rFonts w:ascii="Calibri" w:hAnsi="Calibri"/>
                <w:bCs/>
                <w:szCs w:val="22"/>
              </w:rPr>
            </w:pPr>
            <w:r>
              <w:rPr>
                <w:rFonts w:ascii="Calibri" w:hAnsi="Calibri"/>
                <w:bCs/>
                <w:szCs w:val="22"/>
              </w:rPr>
              <w:t>Taking account of the proposed reduction in operational hours and taking account that the proposed Class E use is likely to generate less activity, noise or disturbance than that of the current Drinking Establishment use</w:t>
            </w:r>
            <w:r w:rsidR="00050DCC">
              <w:rPr>
                <w:rFonts w:ascii="Calibri" w:hAnsi="Calibri"/>
                <w:bCs/>
                <w:szCs w:val="22"/>
              </w:rPr>
              <w:t>, it is not considered that the proposed change of use will result in any additional significant measurable impacts upon the residential amenities of nearby residential occupiers.</w:t>
            </w:r>
          </w:p>
          <w:p w14:paraId="31CFB379" w14:textId="77777777" w:rsidR="00A36578" w:rsidRDefault="00A36578" w:rsidP="00A5755C">
            <w:pPr>
              <w:contextualSpacing/>
              <w:jc w:val="both"/>
              <w:rPr>
                <w:rFonts w:ascii="Calibri" w:hAnsi="Calibri"/>
                <w:b/>
                <w:szCs w:val="22"/>
              </w:rPr>
            </w:pPr>
          </w:p>
          <w:p w14:paraId="367AE738" w14:textId="5F9B00C2" w:rsidR="002A325A" w:rsidRPr="002A325A" w:rsidRDefault="002A325A" w:rsidP="00A5755C">
            <w:pPr>
              <w:contextualSpacing/>
              <w:jc w:val="both"/>
              <w:rPr>
                <w:rFonts w:ascii="Calibri" w:hAnsi="Calibri"/>
                <w:bCs/>
                <w:szCs w:val="22"/>
              </w:rPr>
            </w:pPr>
            <w:r w:rsidRPr="002A325A">
              <w:rPr>
                <w:rFonts w:ascii="Calibri" w:hAnsi="Calibri"/>
                <w:bCs/>
                <w:szCs w:val="22"/>
              </w:rPr>
              <w:t>As such,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35D3A286" w14:textId="1367C503" w:rsidR="002A325A" w:rsidRPr="003D27A7" w:rsidRDefault="002A325A" w:rsidP="0046548C">
            <w:pPr>
              <w:contextualSpacing/>
              <w:rPr>
                <w:rFonts w:ascii="Calibri" w:hAnsi="Calibri"/>
                <w:b/>
                <w:szCs w:val="22"/>
              </w:rPr>
            </w:pPr>
          </w:p>
        </w:tc>
      </w:tr>
      <w:tr w:rsidR="00D15787" w:rsidRPr="00D2449B" w14:paraId="3E30C78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899B37" w14:textId="77777777" w:rsidR="00D15787" w:rsidRDefault="00D15787" w:rsidP="00D15787">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69B39F01" w14:textId="77777777" w:rsidR="00D15787" w:rsidRDefault="00D15787" w:rsidP="00D15787">
            <w:pPr>
              <w:pStyle w:val="Header"/>
              <w:tabs>
                <w:tab w:val="clear" w:pos="4153"/>
                <w:tab w:val="clear" w:pos="8306"/>
              </w:tabs>
              <w:contextualSpacing/>
              <w:jc w:val="both"/>
              <w:rPr>
                <w:rFonts w:ascii="Calibri" w:hAnsi="Calibri"/>
                <w:b/>
                <w:szCs w:val="22"/>
              </w:rPr>
            </w:pPr>
          </w:p>
          <w:p w14:paraId="36361B7F" w14:textId="4BA53221" w:rsidR="002A325A" w:rsidRPr="00A36578" w:rsidRDefault="00A10496" w:rsidP="00D15787">
            <w:pPr>
              <w:pStyle w:val="Header"/>
              <w:tabs>
                <w:tab w:val="clear" w:pos="4153"/>
                <w:tab w:val="clear" w:pos="8306"/>
              </w:tabs>
              <w:contextualSpacing/>
              <w:jc w:val="both"/>
              <w:rPr>
                <w:rFonts w:ascii="Calibri" w:hAnsi="Calibri"/>
                <w:bCs/>
                <w:szCs w:val="22"/>
              </w:rPr>
            </w:pPr>
            <w:r w:rsidRPr="00A36578">
              <w:rPr>
                <w:rFonts w:ascii="Calibri" w:hAnsi="Calibri"/>
                <w:bCs/>
                <w:szCs w:val="22"/>
              </w:rPr>
              <w:t>The proposal seeks consent from one commercial use to that of another, namely from that of an existing</w:t>
            </w:r>
            <w:r w:rsidRPr="00A36578">
              <w:t xml:space="preserve"> </w:t>
            </w:r>
            <w:r w:rsidRPr="00A36578">
              <w:rPr>
                <w:rFonts w:ascii="Calibri" w:hAnsi="Calibri"/>
                <w:bCs/>
                <w:szCs w:val="22"/>
              </w:rPr>
              <w:t xml:space="preserve">drinking establishment (Sui generis) to that of a Travel Agency (Class E). As such and taking account that the building to which the application relates is located within the defined Main Town Centre Boundary of Clitheroe, it is not considered that the proposed change of use will result in any additional </w:t>
            </w:r>
            <w:r w:rsidR="00A36578" w:rsidRPr="00A36578">
              <w:rPr>
                <w:rFonts w:ascii="Calibri" w:hAnsi="Calibri"/>
                <w:bCs/>
                <w:szCs w:val="22"/>
              </w:rPr>
              <w:t xml:space="preserve">measurable </w:t>
            </w:r>
            <w:r w:rsidRPr="00A36578">
              <w:rPr>
                <w:rFonts w:ascii="Calibri" w:hAnsi="Calibri"/>
                <w:bCs/>
                <w:szCs w:val="22"/>
              </w:rPr>
              <w:t xml:space="preserve">impacts </w:t>
            </w:r>
            <w:r w:rsidR="00A36578" w:rsidRPr="00A36578">
              <w:rPr>
                <w:rFonts w:ascii="Calibri" w:hAnsi="Calibri"/>
                <w:bCs/>
                <w:szCs w:val="22"/>
              </w:rPr>
              <w:t>upon the safe operation of the immediate highway or generate any significant measurable additional vehicular movements over and above that of the existing satiation.</w:t>
            </w:r>
          </w:p>
          <w:p w14:paraId="555B5DBD" w14:textId="77777777" w:rsidR="002A325A" w:rsidRDefault="002A325A" w:rsidP="00D15787">
            <w:pPr>
              <w:pStyle w:val="Header"/>
              <w:tabs>
                <w:tab w:val="clear" w:pos="4153"/>
                <w:tab w:val="clear" w:pos="8306"/>
              </w:tabs>
              <w:contextualSpacing/>
              <w:jc w:val="both"/>
              <w:rPr>
                <w:rFonts w:ascii="Calibri" w:hAnsi="Calibri"/>
                <w:b/>
                <w:szCs w:val="22"/>
              </w:rPr>
            </w:pPr>
          </w:p>
          <w:p w14:paraId="6FEBE5CD" w14:textId="241DA860" w:rsidR="002A325A" w:rsidRPr="00BB4772" w:rsidRDefault="002A325A" w:rsidP="002A325A">
            <w:pPr>
              <w:pStyle w:val="Header"/>
              <w:tabs>
                <w:tab w:val="clear" w:pos="4153"/>
                <w:tab w:val="clear" w:pos="8306"/>
              </w:tabs>
              <w:contextualSpacing/>
              <w:jc w:val="both"/>
              <w:rPr>
                <w:rFonts w:ascii="Calibri" w:hAnsi="Calibri"/>
                <w:bCs/>
                <w:szCs w:val="22"/>
              </w:rPr>
            </w:pPr>
            <w:r>
              <w:rPr>
                <w:rFonts w:ascii="Calibri" w:hAnsi="Calibri"/>
                <w:bCs/>
                <w:szCs w:val="22"/>
              </w:rPr>
              <w:t>A</w:t>
            </w:r>
            <w:r w:rsidRPr="00BB4772">
              <w:rPr>
                <w:rFonts w:ascii="Calibri" w:hAnsi="Calibri"/>
                <w:bCs/>
                <w:szCs w:val="22"/>
              </w:rPr>
              <w:t xml:space="preserve">s such </w:t>
            </w:r>
            <w:r>
              <w:rPr>
                <w:rFonts w:ascii="Calibri" w:hAnsi="Calibri"/>
                <w:bCs/>
                <w:szCs w:val="22"/>
              </w:rPr>
              <w:t xml:space="preserve">and in </w:t>
            </w:r>
            <w:r w:rsidR="00A628AE">
              <w:rPr>
                <w:rFonts w:ascii="Calibri" w:hAnsi="Calibri"/>
                <w:bCs/>
                <w:szCs w:val="22"/>
              </w:rPr>
              <w:t>respect</w:t>
            </w:r>
            <w:r>
              <w:rPr>
                <w:rFonts w:ascii="Calibri" w:hAnsi="Calibri"/>
                <w:bCs/>
                <w:szCs w:val="22"/>
              </w:rPr>
              <w:t xml:space="preserve"> of the above matters </w:t>
            </w:r>
            <w:r w:rsidRPr="00BB4772">
              <w:rPr>
                <w:rFonts w:ascii="Calibri" w:hAnsi="Calibri"/>
                <w:bCs/>
                <w:szCs w:val="22"/>
              </w:rPr>
              <w:t xml:space="preserve">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w:t>
            </w:r>
            <w:r>
              <w:rPr>
                <w:rFonts w:ascii="Calibri" w:hAnsi="Calibri"/>
                <w:bCs/>
                <w:szCs w:val="22"/>
              </w:rPr>
              <w:t xml:space="preserve">commercial </w:t>
            </w:r>
            <w:r w:rsidRPr="00BB4772">
              <w:rPr>
                <w:rFonts w:ascii="Calibri" w:hAnsi="Calibri"/>
                <w:bCs/>
                <w:szCs w:val="22"/>
              </w:rPr>
              <w:t>development.</w:t>
            </w:r>
          </w:p>
          <w:p w14:paraId="2C471657" w14:textId="77777777" w:rsidR="009F37C8" w:rsidRDefault="009F37C8" w:rsidP="00D15787">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6D2A9A1" w14:textId="4B30F033" w:rsidR="0051621E" w:rsidRPr="00A10496" w:rsidRDefault="004D0777" w:rsidP="00EA09F9">
            <w:pPr>
              <w:pStyle w:val="Header"/>
              <w:tabs>
                <w:tab w:val="clear" w:pos="4153"/>
                <w:tab w:val="clear" w:pos="8306"/>
              </w:tabs>
              <w:contextualSpacing/>
              <w:jc w:val="both"/>
              <w:rPr>
                <w:rFonts w:ascii="Calibri" w:hAnsi="Calibri"/>
                <w:bCs/>
                <w:szCs w:val="22"/>
              </w:rPr>
            </w:pPr>
            <w:r w:rsidRPr="00A10496">
              <w:rPr>
                <w:rFonts w:ascii="Calibri" w:hAnsi="Calibri"/>
                <w:bCs/>
                <w:szCs w:val="22"/>
              </w:rPr>
              <w:t xml:space="preserve">The proposal does not result in any works to an existing roof </w:t>
            </w:r>
            <w:r w:rsidR="009F37C8" w:rsidRPr="00A10496">
              <w:rPr>
                <w:rFonts w:ascii="Calibri" w:hAnsi="Calibri"/>
                <w:bCs/>
                <w:szCs w:val="22"/>
              </w:rPr>
              <w:t>margin</w:t>
            </w:r>
            <w:r w:rsidRPr="00A10496">
              <w:rPr>
                <w:rFonts w:ascii="Calibri" w:hAnsi="Calibri"/>
                <w:bCs/>
                <w:szCs w:val="22"/>
              </w:rPr>
              <w:t xml:space="preserve"> or roof-void insofar that</w:t>
            </w:r>
            <w:r w:rsidR="00985637" w:rsidRPr="00A10496">
              <w:rPr>
                <w:rFonts w:ascii="Calibri" w:hAnsi="Calibri"/>
                <w:bCs/>
                <w:szCs w:val="22"/>
              </w:rPr>
              <w:t xml:space="preserve"> </w:t>
            </w:r>
            <w:r w:rsidR="00A10496" w:rsidRPr="00A10496">
              <w:rPr>
                <w:rFonts w:ascii="Calibri" w:hAnsi="Calibri"/>
                <w:bCs/>
                <w:szCs w:val="22"/>
              </w:rPr>
              <w:t xml:space="preserve">the application solely seeks consent </w:t>
            </w:r>
            <w:r w:rsidR="00985637" w:rsidRPr="00A10496">
              <w:rPr>
                <w:rFonts w:ascii="Calibri" w:hAnsi="Calibri"/>
                <w:bCs/>
                <w:szCs w:val="22"/>
              </w:rPr>
              <w:t xml:space="preserve">for </w:t>
            </w:r>
            <w:r w:rsidR="00A10496" w:rsidRPr="00A10496">
              <w:rPr>
                <w:rFonts w:ascii="Calibri" w:hAnsi="Calibri"/>
                <w:bCs/>
                <w:szCs w:val="22"/>
              </w:rPr>
              <w:t xml:space="preserve">that of an operational change of use, </w:t>
            </w:r>
            <w:r w:rsidR="00985637" w:rsidRPr="00A10496">
              <w:rPr>
                <w:rFonts w:ascii="Calibri" w:hAnsi="Calibri"/>
                <w:bCs/>
                <w:szCs w:val="22"/>
              </w:rPr>
              <w:t>as such it is not considered the proposal will result in any measurable undue impacts upon protected species</w:t>
            </w:r>
            <w:r w:rsidR="00A10496" w:rsidRPr="00A10496">
              <w:rPr>
                <w:rFonts w:ascii="Calibri" w:hAnsi="Calibri"/>
                <w:bCs/>
                <w:szCs w:val="22"/>
              </w:rPr>
              <w:t xml:space="preserve"> nor does the nature of the proposal necessitate the need for any mitigation to oddest the impacts(s) of the development in this respect.</w:t>
            </w:r>
          </w:p>
          <w:p w14:paraId="30ED1177" w14:textId="77777777" w:rsidR="004D0777" w:rsidRPr="003D27A7" w:rsidRDefault="004D0777" w:rsidP="00EA09F9">
            <w:pPr>
              <w:pStyle w:val="Header"/>
              <w:tabs>
                <w:tab w:val="clear" w:pos="4153"/>
                <w:tab w:val="clear" w:pos="8306"/>
              </w:tabs>
              <w:contextualSpacing/>
              <w:jc w:val="both"/>
              <w:rPr>
                <w:rFonts w:ascii="Calibri" w:hAnsi="Calibri"/>
                <w:b/>
                <w:color w:val="FF0000"/>
                <w:szCs w:val="22"/>
              </w:rPr>
            </w:pPr>
          </w:p>
          <w:p w14:paraId="4342BB4D" w14:textId="08D09020" w:rsidR="0051621E" w:rsidRPr="008F3373" w:rsidRDefault="00D5593A" w:rsidP="00EA09F9">
            <w:pPr>
              <w:pStyle w:val="Header"/>
              <w:tabs>
                <w:tab w:val="clear" w:pos="4153"/>
                <w:tab w:val="clear" w:pos="8306"/>
              </w:tabs>
              <w:contextualSpacing/>
              <w:jc w:val="both"/>
              <w:rPr>
                <w:rFonts w:ascii="Calibri" w:hAnsi="Calibri"/>
                <w:bCs/>
                <w:szCs w:val="22"/>
              </w:rPr>
            </w:pPr>
            <w:r w:rsidRPr="008F337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4779D0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3D27A7">
              <w:rPr>
                <w:rFonts w:ascii="Calibri" w:hAnsi="Calibri"/>
                <w:bCs/>
                <w:szCs w:val="22"/>
              </w:rPr>
              <w:t xml:space="preserve">is </w:t>
            </w:r>
            <w:r w:rsidRPr="009F4443">
              <w:rPr>
                <w:rFonts w:ascii="Calibri" w:hAnsi="Calibri"/>
                <w:bCs/>
                <w:szCs w:val="22"/>
              </w:rPr>
              <w:t xml:space="preserve">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BCF6FC7" w:rsidR="00773A66" w:rsidRPr="00D2449B" w:rsidRDefault="00773A66" w:rsidP="00CD2CEF">
            <w:pPr>
              <w:rPr>
                <w:rFonts w:ascii="Calibri" w:hAnsi="Calibri"/>
                <w:bCs/>
                <w:szCs w:val="22"/>
              </w:rPr>
            </w:pPr>
            <w:r w:rsidRPr="009F4443">
              <w:rPr>
                <w:rFonts w:asciiTheme="minorHAnsi" w:hAnsiTheme="minorHAnsi"/>
                <w:bCs/>
                <w:szCs w:val="22"/>
              </w:rPr>
              <w:t xml:space="preserve">That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E4533"/>
    <w:multiLevelType w:val="hybridMultilevel"/>
    <w:tmpl w:val="667C0416"/>
    <w:lvl w:ilvl="0" w:tplc="FA6C9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E35A2"/>
    <w:multiLevelType w:val="hybridMultilevel"/>
    <w:tmpl w:val="77847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B7B4E"/>
    <w:multiLevelType w:val="hybridMultilevel"/>
    <w:tmpl w:val="E21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75A12"/>
    <w:multiLevelType w:val="hybridMultilevel"/>
    <w:tmpl w:val="40A6A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A7797"/>
    <w:multiLevelType w:val="hybridMultilevel"/>
    <w:tmpl w:val="A20A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23"/>
  </w:num>
  <w:num w:numId="2" w16cid:durableId="1573781848">
    <w:abstractNumId w:val="5"/>
  </w:num>
  <w:num w:numId="3" w16cid:durableId="1015419233">
    <w:abstractNumId w:val="22"/>
  </w:num>
  <w:num w:numId="4" w16cid:durableId="1999267513">
    <w:abstractNumId w:val="14"/>
  </w:num>
  <w:num w:numId="5" w16cid:durableId="1666664353">
    <w:abstractNumId w:val="7"/>
  </w:num>
  <w:num w:numId="6" w16cid:durableId="1127435632">
    <w:abstractNumId w:val="21"/>
  </w:num>
  <w:num w:numId="7" w16cid:durableId="653022212">
    <w:abstractNumId w:val="17"/>
  </w:num>
  <w:num w:numId="8" w16cid:durableId="1876768117">
    <w:abstractNumId w:val="15"/>
  </w:num>
  <w:num w:numId="9" w16cid:durableId="1745637641">
    <w:abstractNumId w:val="16"/>
  </w:num>
  <w:num w:numId="10" w16cid:durableId="1908762735">
    <w:abstractNumId w:val="10"/>
  </w:num>
  <w:num w:numId="11" w16cid:durableId="1067647930">
    <w:abstractNumId w:val="4"/>
  </w:num>
  <w:num w:numId="12" w16cid:durableId="1836601465">
    <w:abstractNumId w:val="20"/>
  </w:num>
  <w:num w:numId="13" w16cid:durableId="1666202717">
    <w:abstractNumId w:val="0"/>
  </w:num>
  <w:num w:numId="14" w16cid:durableId="139201204">
    <w:abstractNumId w:val="9"/>
  </w:num>
  <w:num w:numId="15" w16cid:durableId="1241020497">
    <w:abstractNumId w:val="2"/>
  </w:num>
  <w:num w:numId="16" w16cid:durableId="1633512680">
    <w:abstractNumId w:val="12"/>
  </w:num>
  <w:num w:numId="17" w16cid:durableId="1947812948">
    <w:abstractNumId w:val="3"/>
  </w:num>
  <w:num w:numId="18" w16cid:durableId="1631932183">
    <w:abstractNumId w:val="19"/>
  </w:num>
  <w:num w:numId="19" w16cid:durableId="1706370389">
    <w:abstractNumId w:val="18"/>
  </w:num>
  <w:num w:numId="20" w16cid:durableId="1456875899">
    <w:abstractNumId w:val="1"/>
  </w:num>
  <w:num w:numId="21" w16cid:durableId="1265069844">
    <w:abstractNumId w:val="24"/>
  </w:num>
  <w:num w:numId="22" w16cid:durableId="618298261">
    <w:abstractNumId w:val="13"/>
  </w:num>
  <w:num w:numId="23" w16cid:durableId="1278954088">
    <w:abstractNumId w:val="8"/>
  </w:num>
  <w:num w:numId="24" w16cid:durableId="1683169486">
    <w:abstractNumId w:val="11"/>
  </w:num>
  <w:num w:numId="25" w16cid:durableId="1089354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50DCC"/>
    <w:rsid w:val="00052CF7"/>
    <w:rsid w:val="000748C5"/>
    <w:rsid w:val="00091F74"/>
    <w:rsid w:val="000B4630"/>
    <w:rsid w:val="000B5CB5"/>
    <w:rsid w:val="000D2A45"/>
    <w:rsid w:val="000E336A"/>
    <w:rsid w:val="00106CC4"/>
    <w:rsid w:val="001211AA"/>
    <w:rsid w:val="00121F0D"/>
    <w:rsid w:val="00130035"/>
    <w:rsid w:val="0019713D"/>
    <w:rsid w:val="001C3CC8"/>
    <w:rsid w:val="001D4F7A"/>
    <w:rsid w:val="001E2D62"/>
    <w:rsid w:val="00220D22"/>
    <w:rsid w:val="00230C50"/>
    <w:rsid w:val="0023182C"/>
    <w:rsid w:val="00246992"/>
    <w:rsid w:val="00250879"/>
    <w:rsid w:val="0025175C"/>
    <w:rsid w:val="002651C8"/>
    <w:rsid w:val="002743DC"/>
    <w:rsid w:val="00280CAB"/>
    <w:rsid w:val="00282260"/>
    <w:rsid w:val="00282E3A"/>
    <w:rsid w:val="00287B4C"/>
    <w:rsid w:val="0029334A"/>
    <w:rsid w:val="002954E5"/>
    <w:rsid w:val="002A01CF"/>
    <w:rsid w:val="002A325A"/>
    <w:rsid w:val="002B10D5"/>
    <w:rsid w:val="002C1555"/>
    <w:rsid w:val="002C6277"/>
    <w:rsid w:val="002E6393"/>
    <w:rsid w:val="002F2580"/>
    <w:rsid w:val="00321B6E"/>
    <w:rsid w:val="00324056"/>
    <w:rsid w:val="0032499E"/>
    <w:rsid w:val="00343E95"/>
    <w:rsid w:val="003608F6"/>
    <w:rsid w:val="00360C2D"/>
    <w:rsid w:val="003D27A7"/>
    <w:rsid w:val="003E4F9F"/>
    <w:rsid w:val="00423DFB"/>
    <w:rsid w:val="00432C5F"/>
    <w:rsid w:val="00440824"/>
    <w:rsid w:val="00440CB6"/>
    <w:rsid w:val="004425D2"/>
    <w:rsid w:val="00446E89"/>
    <w:rsid w:val="0046548C"/>
    <w:rsid w:val="00471172"/>
    <w:rsid w:val="004947BB"/>
    <w:rsid w:val="00495E9C"/>
    <w:rsid w:val="00497407"/>
    <w:rsid w:val="004A5EA9"/>
    <w:rsid w:val="004C14EF"/>
    <w:rsid w:val="004C2434"/>
    <w:rsid w:val="004D0777"/>
    <w:rsid w:val="004F0649"/>
    <w:rsid w:val="004F4543"/>
    <w:rsid w:val="005070E0"/>
    <w:rsid w:val="00510FA2"/>
    <w:rsid w:val="0051621E"/>
    <w:rsid w:val="00556ECD"/>
    <w:rsid w:val="00556ED9"/>
    <w:rsid w:val="005752DA"/>
    <w:rsid w:val="00580869"/>
    <w:rsid w:val="0059127F"/>
    <w:rsid w:val="005B103D"/>
    <w:rsid w:val="005B31B6"/>
    <w:rsid w:val="005C2CD0"/>
    <w:rsid w:val="005C736D"/>
    <w:rsid w:val="005E1C6C"/>
    <w:rsid w:val="005E4ECC"/>
    <w:rsid w:val="005E65DF"/>
    <w:rsid w:val="005F72F6"/>
    <w:rsid w:val="00602391"/>
    <w:rsid w:val="00612AB3"/>
    <w:rsid w:val="00623A50"/>
    <w:rsid w:val="006429CF"/>
    <w:rsid w:val="006617C9"/>
    <w:rsid w:val="00692B60"/>
    <w:rsid w:val="0069545C"/>
    <w:rsid w:val="006A262A"/>
    <w:rsid w:val="006A71AD"/>
    <w:rsid w:val="006C2BFA"/>
    <w:rsid w:val="006E0BC9"/>
    <w:rsid w:val="006F6849"/>
    <w:rsid w:val="0070054B"/>
    <w:rsid w:val="00733BB5"/>
    <w:rsid w:val="00761D2C"/>
    <w:rsid w:val="00773A66"/>
    <w:rsid w:val="00776AE2"/>
    <w:rsid w:val="00794673"/>
    <w:rsid w:val="007C791C"/>
    <w:rsid w:val="007D4041"/>
    <w:rsid w:val="007D7DF4"/>
    <w:rsid w:val="007E0D23"/>
    <w:rsid w:val="007F16D6"/>
    <w:rsid w:val="007F51A6"/>
    <w:rsid w:val="00811771"/>
    <w:rsid w:val="00814CFF"/>
    <w:rsid w:val="00824DB6"/>
    <w:rsid w:val="00831BCB"/>
    <w:rsid w:val="00837F4F"/>
    <w:rsid w:val="0084717F"/>
    <w:rsid w:val="008542DE"/>
    <w:rsid w:val="00862142"/>
    <w:rsid w:val="008A28C8"/>
    <w:rsid w:val="008C4F64"/>
    <w:rsid w:val="008D3699"/>
    <w:rsid w:val="008E48E4"/>
    <w:rsid w:val="008E51E7"/>
    <w:rsid w:val="008F30D9"/>
    <w:rsid w:val="008F3373"/>
    <w:rsid w:val="00905FD9"/>
    <w:rsid w:val="009112F5"/>
    <w:rsid w:val="00921E4B"/>
    <w:rsid w:val="00985637"/>
    <w:rsid w:val="009A61F7"/>
    <w:rsid w:val="009C07B1"/>
    <w:rsid w:val="009D3C91"/>
    <w:rsid w:val="009D69F1"/>
    <w:rsid w:val="009F37C8"/>
    <w:rsid w:val="009F380B"/>
    <w:rsid w:val="009F4443"/>
    <w:rsid w:val="00A03086"/>
    <w:rsid w:val="00A10496"/>
    <w:rsid w:val="00A33381"/>
    <w:rsid w:val="00A36578"/>
    <w:rsid w:val="00A42E82"/>
    <w:rsid w:val="00A446B4"/>
    <w:rsid w:val="00A5755C"/>
    <w:rsid w:val="00A579BB"/>
    <w:rsid w:val="00A628AE"/>
    <w:rsid w:val="00A63D55"/>
    <w:rsid w:val="00A92C2E"/>
    <w:rsid w:val="00A95D89"/>
    <w:rsid w:val="00AA5464"/>
    <w:rsid w:val="00AB0FF7"/>
    <w:rsid w:val="00AB6FCE"/>
    <w:rsid w:val="00AD49BF"/>
    <w:rsid w:val="00AD4FAA"/>
    <w:rsid w:val="00AE57FD"/>
    <w:rsid w:val="00AF24C2"/>
    <w:rsid w:val="00AF26A7"/>
    <w:rsid w:val="00B23CFE"/>
    <w:rsid w:val="00B326FE"/>
    <w:rsid w:val="00B459EF"/>
    <w:rsid w:val="00B647B4"/>
    <w:rsid w:val="00B93EB5"/>
    <w:rsid w:val="00BB1EB6"/>
    <w:rsid w:val="00BB4772"/>
    <w:rsid w:val="00BD3F03"/>
    <w:rsid w:val="00BF6F5D"/>
    <w:rsid w:val="00C0704D"/>
    <w:rsid w:val="00C25722"/>
    <w:rsid w:val="00C3374E"/>
    <w:rsid w:val="00C54589"/>
    <w:rsid w:val="00C618DB"/>
    <w:rsid w:val="00C76525"/>
    <w:rsid w:val="00C80B9D"/>
    <w:rsid w:val="00C817EF"/>
    <w:rsid w:val="00CA7986"/>
    <w:rsid w:val="00CE3194"/>
    <w:rsid w:val="00CF0564"/>
    <w:rsid w:val="00D05B4D"/>
    <w:rsid w:val="00D075E4"/>
    <w:rsid w:val="00D11007"/>
    <w:rsid w:val="00D15787"/>
    <w:rsid w:val="00D17EB1"/>
    <w:rsid w:val="00D23499"/>
    <w:rsid w:val="00D2449B"/>
    <w:rsid w:val="00D536F5"/>
    <w:rsid w:val="00D54E67"/>
    <w:rsid w:val="00D5593A"/>
    <w:rsid w:val="00D655BD"/>
    <w:rsid w:val="00D75039"/>
    <w:rsid w:val="00D76E8A"/>
    <w:rsid w:val="00D84147"/>
    <w:rsid w:val="00DC67DA"/>
    <w:rsid w:val="00DD3EA9"/>
    <w:rsid w:val="00DD5B2B"/>
    <w:rsid w:val="00DD62F6"/>
    <w:rsid w:val="00DF6086"/>
    <w:rsid w:val="00E06A23"/>
    <w:rsid w:val="00E46243"/>
    <w:rsid w:val="00E66534"/>
    <w:rsid w:val="00E72F6C"/>
    <w:rsid w:val="00E74CA6"/>
    <w:rsid w:val="00EA09F9"/>
    <w:rsid w:val="00EC23C7"/>
    <w:rsid w:val="00ED00B7"/>
    <w:rsid w:val="00EE5131"/>
    <w:rsid w:val="00EF44E6"/>
    <w:rsid w:val="00F041E8"/>
    <w:rsid w:val="00F056A7"/>
    <w:rsid w:val="00F15EBF"/>
    <w:rsid w:val="00F34757"/>
    <w:rsid w:val="00F61C4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9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2024-08-23T13:27:00Z</cp:lastPrinted>
  <dcterms:created xsi:type="dcterms:W3CDTF">2024-08-23T13:32:00Z</dcterms:created>
  <dcterms:modified xsi:type="dcterms:W3CDTF">2024-08-23T13:32:00Z</dcterms:modified>
</cp:coreProperties>
</file>