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696"/>
        <w:gridCol w:w="602"/>
        <w:gridCol w:w="699"/>
        <w:gridCol w:w="579"/>
        <w:gridCol w:w="1030"/>
        <w:gridCol w:w="1030"/>
        <w:gridCol w:w="1031"/>
      </w:tblGrid>
      <w:tr w:rsidR="004A5EA9" w:rsidRPr="00D2449B" w14:paraId="230E00AF"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697735">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FE0BEF9" w:rsidR="00837F4F" w:rsidRPr="00D2449B" w:rsidRDefault="002708C3"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9F7F231" w:rsidR="00837F4F" w:rsidRPr="00D2449B" w:rsidRDefault="002708C3" w:rsidP="00D2449B">
            <w:pPr>
              <w:jc w:val="center"/>
              <w:rPr>
                <w:rFonts w:ascii="Calibri" w:hAnsi="Calibri"/>
                <w:b/>
                <w:szCs w:val="22"/>
              </w:rPr>
            </w:pPr>
            <w:r>
              <w:rPr>
                <w:rFonts w:ascii="Calibri" w:hAnsi="Calibri"/>
                <w:b/>
                <w:szCs w:val="22"/>
              </w:rPr>
              <w:t>24/10/2024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B823A9D" w:rsidR="00837F4F" w:rsidRPr="00D2449B" w:rsidRDefault="00EA696D"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05D3B3E" w:rsidR="00837F4F" w:rsidRPr="00D2449B" w:rsidRDefault="00EA696D" w:rsidP="00D2449B">
            <w:pPr>
              <w:jc w:val="center"/>
              <w:rPr>
                <w:rFonts w:ascii="Calibri" w:hAnsi="Calibri"/>
                <w:b/>
                <w:szCs w:val="22"/>
              </w:rPr>
            </w:pPr>
            <w:r>
              <w:rPr>
                <w:rFonts w:ascii="Calibri" w:hAnsi="Calibri"/>
                <w:b/>
                <w:szCs w:val="22"/>
              </w:rPr>
              <w:t>25.10.24</w:t>
            </w:r>
          </w:p>
        </w:tc>
      </w:tr>
      <w:tr w:rsidR="004A5EA9" w:rsidRPr="00D2449B" w14:paraId="2094A164" w14:textId="77777777" w:rsidTr="00697735">
        <w:trPr>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697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A222EB0" w:rsidR="004A5EA9" w:rsidRPr="005F1A36" w:rsidRDefault="00B5479B" w:rsidP="008542DE">
            <w:pPr>
              <w:rPr>
                <w:rFonts w:ascii="Calibri" w:hAnsi="Calibri"/>
                <w:szCs w:val="22"/>
              </w:rPr>
            </w:pPr>
            <w:r w:rsidRPr="005F1A36">
              <w:rPr>
                <w:rFonts w:ascii="Calibri" w:hAnsi="Calibri"/>
                <w:szCs w:val="22"/>
              </w:rPr>
              <w:t>2024/</w:t>
            </w:r>
            <w:r w:rsidR="002708C3">
              <w:rPr>
                <w:rFonts w:ascii="Calibri" w:hAnsi="Calibri"/>
                <w:szCs w:val="22"/>
              </w:rPr>
              <w:t>0604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697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21DEEA8" w:rsidR="00824DB6" w:rsidRPr="00C0704D" w:rsidRDefault="002708C3" w:rsidP="002C6277">
            <w:pPr>
              <w:rPr>
                <w:rFonts w:ascii="Calibri" w:hAnsi="Calibri"/>
                <w:szCs w:val="22"/>
              </w:rPr>
            </w:pPr>
            <w:r>
              <w:rPr>
                <w:rFonts w:ascii="Calibri" w:hAnsi="Calibri"/>
                <w:szCs w:val="22"/>
              </w:rPr>
              <w:t>27/09/2024</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EB41C89" w:rsidR="00824DB6" w:rsidRPr="00C0704D" w:rsidRDefault="002708C3"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6977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EC54375" w:rsidR="004A5EA9" w:rsidRPr="00250879" w:rsidRDefault="002708C3" w:rsidP="00811771">
            <w:pPr>
              <w:rPr>
                <w:rFonts w:ascii="Calibri" w:hAnsi="Calibri"/>
                <w:color w:val="548DD4" w:themeColor="text2" w:themeTint="99"/>
                <w:szCs w:val="22"/>
              </w:rPr>
            </w:pPr>
            <w:r w:rsidRPr="00EA696D">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697735">
        <w:trPr>
          <w:jc w:val="center"/>
        </w:trPr>
        <w:tc>
          <w:tcPr>
            <w:tcW w:w="628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697735">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180DD45" w:rsidR="004A5EA9" w:rsidRPr="002C6277" w:rsidRDefault="002708C3">
            <w:pPr>
              <w:rPr>
                <w:rFonts w:ascii="Calibri" w:hAnsi="Calibri"/>
                <w:szCs w:val="22"/>
              </w:rPr>
            </w:pPr>
            <w:r>
              <w:rPr>
                <w:rFonts w:ascii="Calibri" w:hAnsi="Calibri"/>
                <w:szCs w:val="22"/>
              </w:rPr>
              <w:t xml:space="preserve">Proposed single-storey, detached annex to rear. </w:t>
            </w:r>
          </w:p>
        </w:tc>
      </w:tr>
      <w:tr w:rsidR="002A01CF" w:rsidRPr="00D2449B" w14:paraId="52988241"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6E9BD8F" w:rsidR="002A01CF" w:rsidRPr="002C6277" w:rsidRDefault="002708C3" w:rsidP="00A42E82">
            <w:pPr>
              <w:rPr>
                <w:rFonts w:ascii="Calibri" w:hAnsi="Calibri"/>
                <w:szCs w:val="22"/>
              </w:rPr>
            </w:pPr>
            <w:r>
              <w:rPr>
                <w:rFonts w:ascii="Calibri" w:hAnsi="Calibri"/>
                <w:szCs w:val="22"/>
              </w:rPr>
              <w:t>89 Chatburn Road, Clitheroe BB7 2AS.</w:t>
            </w:r>
          </w:p>
        </w:tc>
      </w:tr>
      <w:tr w:rsidR="00A95D89" w:rsidRPr="00D2449B" w14:paraId="3FB99B2E" w14:textId="77777777" w:rsidTr="00697735">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9F5A035" w:rsidR="002A01CF" w:rsidRPr="00295A61" w:rsidRDefault="0026635F">
            <w:pPr>
              <w:rPr>
                <w:rFonts w:ascii="Calibri" w:hAnsi="Calibri"/>
                <w:bCs/>
                <w:szCs w:val="22"/>
              </w:rPr>
            </w:pPr>
            <w:r>
              <w:rPr>
                <w:rFonts w:ascii="Calibri" w:hAnsi="Calibri"/>
                <w:bCs/>
                <w:szCs w:val="22"/>
              </w:rPr>
              <w:t xml:space="preserve">No objection from Clitheroe Town Council. </w:t>
            </w:r>
          </w:p>
        </w:tc>
      </w:tr>
      <w:tr w:rsidR="00C618DB" w:rsidRPr="00D2449B" w14:paraId="639E958B" w14:textId="77777777" w:rsidTr="00697735">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6CF0799" w:rsidR="002A01CF" w:rsidRPr="0026635F" w:rsidRDefault="0026635F">
            <w:pPr>
              <w:rPr>
                <w:rFonts w:ascii="Calibri" w:hAnsi="Calibri"/>
                <w:bCs/>
                <w:szCs w:val="22"/>
              </w:rPr>
            </w:pPr>
            <w:r w:rsidRPr="0026635F">
              <w:rPr>
                <w:rFonts w:ascii="Calibri" w:hAnsi="Calibri"/>
                <w:bCs/>
                <w:szCs w:val="22"/>
              </w:rPr>
              <w:t xml:space="preserve">No objection subject to conditions. </w:t>
            </w:r>
          </w:p>
        </w:tc>
      </w:tr>
      <w:tr w:rsidR="00C0704D" w:rsidRPr="00D2449B" w14:paraId="62663AAF"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6977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C2BF76" w14:textId="7BAFB776" w:rsidR="00C0704D" w:rsidRDefault="003110C8" w:rsidP="00692B60">
            <w:pPr>
              <w:rPr>
                <w:rFonts w:ascii="Calibri" w:hAnsi="Calibri"/>
                <w:szCs w:val="22"/>
              </w:rPr>
            </w:pPr>
            <w:r>
              <w:rPr>
                <w:rFonts w:ascii="Calibri" w:hAnsi="Calibri"/>
                <w:szCs w:val="22"/>
              </w:rPr>
              <w:t>One letter of representation has been received raising the following points.</w:t>
            </w:r>
          </w:p>
          <w:p w14:paraId="74B8CAAF" w14:textId="77777777" w:rsidR="0026635F" w:rsidRDefault="0026635F" w:rsidP="00692B60">
            <w:pPr>
              <w:rPr>
                <w:rFonts w:ascii="Calibri" w:hAnsi="Calibri"/>
                <w:szCs w:val="22"/>
              </w:rPr>
            </w:pPr>
          </w:p>
          <w:p w14:paraId="5D6411A4" w14:textId="77777777" w:rsidR="003110C8" w:rsidRDefault="00E330EF" w:rsidP="003110C8">
            <w:pPr>
              <w:pStyle w:val="ListParagraph"/>
              <w:numPr>
                <w:ilvl w:val="0"/>
                <w:numId w:val="4"/>
              </w:numPr>
              <w:rPr>
                <w:rFonts w:ascii="Calibri" w:hAnsi="Calibri"/>
                <w:szCs w:val="22"/>
              </w:rPr>
            </w:pPr>
            <w:r>
              <w:rPr>
                <w:rFonts w:ascii="Calibri" w:hAnsi="Calibri"/>
                <w:szCs w:val="22"/>
              </w:rPr>
              <w:t xml:space="preserve">Sound proofing of the building materials and potential noise disturbance. </w:t>
            </w:r>
          </w:p>
          <w:p w14:paraId="6EC72C64" w14:textId="77777777" w:rsidR="00E330EF" w:rsidRDefault="00E330EF" w:rsidP="003110C8">
            <w:pPr>
              <w:pStyle w:val="ListParagraph"/>
              <w:numPr>
                <w:ilvl w:val="0"/>
                <w:numId w:val="4"/>
              </w:numPr>
              <w:rPr>
                <w:rFonts w:ascii="Calibri" w:hAnsi="Calibri"/>
                <w:szCs w:val="22"/>
              </w:rPr>
            </w:pPr>
            <w:r>
              <w:rPr>
                <w:rFonts w:ascii="Calibri" w:hAnsi="Calibri"/>
                <w:szCs w:val="22"/>
              </w:rPr>
              <w:t>Potential impact o</w:t>
            </w:r>
            <w:r w:rsidR="0026635F">
              <w:rPr>
                <w:rFonts w:ascii="Calibri" w:hAnsi="Calibri"/>
                <w:szCs w:val="22"/>
              </w:rPr>
              <w:t>n</w:t>
            </w:r>
            <w:r>
              <w:rPr>
                <w:rFonts w:ascii="Calibri" w:hAnsi="Calibri"/>
                <w:szCs w:val="22"/>
              </w:rPr>
              <w:t xml:space="preserve"> boundary </w:t>
            </w:r>
            <w:r w:rsidR="0026635F">
              <w:rPr>
                <w:rFonts w:ascii="Calibri" w:hAnsi="Calibri"/>
                <w:szCs w:val="22"/>
              </w:rPr>
              <w:t xml:space="preserve">wall/fence. </w:t>
            </w:r>
            <w:r>
              <w:rPr>
                <w:rFonts w:ascii="Calibri" w:hAnsi="Calibri"/>
                <w:szCs w:val="22"/>
              </w:rPr>
              <w:t xml:space="preserve"> </w:t>
            </w:r>
          </w:p>
          <w:p w14:paraId="45B3CE4F" w14:textId="77777777" w:rsidR="0026635F" w:rsidRDefault="0026635F" w:rsidP="0026635F">
            <w:pPr>
              <w:rPr>
                <w:rFonts w:ascii="Calibri" w:hAnsi="Calibri"/>
                <w:szCs w:val="22"/>
              </w:rPr>
            </w:pPr>
          </w:p>
          <w:p w14:paraId="581BB273" w14:textId="5D8A6D8C" w:rsidR="0026635F" w:rsidRPr="0026635F" w:rsidRDefault="0026635F" w:rsidP="0026635F">
            <w:pPr>
              <w:rPr>
                <w:rFonts w:ascii="Calibri" w:hAnsi="Calibri"/>
                <w:szCs w:val="22"/>
              </w:rPr>
            </w:pPr>
            <w:r>
              <w:rPr>
                <w:rFonts w:ascii="Calibri" w:hAnsi="Calibri"/>
                <w:szCs w:val="22"/>
              </w:rPr>
              <w:t xml:space="preserve">The proposed scheme has been amended since the above letter was received and it is considered that these concerns have now been mitigated. </w:t>
            </w:r>
          </w:p>
        </w:tc>
      </w:tr>
      <w:tr w:rsidR="00C0704D" w:rsidRPr="00D2449B" w14:paraId="1CDFA4C3" w14:textId="77777777" w:rsidTr="00697735">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37F1589" w14:textId="77777777" w:rsidR="008D26AB" w:rsidRPr="00C618DB" w:rsidRDefault="008D26AB" w:rsidP="008D26AB">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6D6A1E1B" w14:textId="77777777" w:rsidR="008D26AB" w:rsidRDefault="008D26AB" w:rsidP="008D26AB">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6C3DE5F0" w14:textId="77777777" w:rsidR="008D26AB" w:rsidRPr="00C618DB" w:rsidRDefault="008D26AB" w:rsidP="008D26AB">
            <w:pPr>
              <w:pStyle w:val="PLANNING"/>
              <w:rPr>
                <w:rFonts w:ascii="Calibri" w:hAnsi="Calibri"/>
                <w:szCs w:val="22"/>
              </w:rPr>
            </w:pPr>
          </w:p>
          <w:p w14:paraId="1DAB2612" w14:textId="77777777" w:rsidR="008D26AB" w:rsidRPr="00C618DB" w:rsidRDefault="008D26AB" w:rsidP="008D26AB">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49E03A02" w14:textId="77777777" w:rsidR="008D26AB" w:rsidRPr="00C618DB" w:rsidRDefault="008D26AB" w:rsidP="008D26AB">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2A816848" w14:textId="77777777" w:rsidR="008D26AB" w:rsidRDefault="008D26AB" w:rsidP="008D26AB">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335C8670" w14:textId="77777777" w:rsidR="008D26AB" w:rsidRPr="00C618DB" w:rsidRDefault="008D26AB" w:rsidP="008D26AB">
            <w:pPr>
              <w:pStyle w:val="PLANNING"/>
              <w:rPr>
                <w:rFonts w:ascii="Calibri" w:hAnsi="Calibri"/>
                <w:szCs w:val="22"/>
              </w:rPr>
            </w:pPr>
          </w:p>
          <w:p w14:paraId="26F605D3" w14:textId="77777777" w:rsidR="008D26AB" w:rsidRDefault="008D26AB" w:rsidP="008D26AB">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1858C02" w14:textId="77777777" w:rsidR="00610DE6" w:rsidRPr="007D0CEC" w:rsidRDefault="00610DE6" w:rsidP="00C0704D">
            <w:pPr>
              <w:pStyle w:val="PLANNING"/>
              <w:rPr>
                <w:rFonts w:ascii="Calibri" w:hAnsi="Calibri"/>
                <w:szCs w:val="22"/>
              </w:rPr>
            </w:pPr>
          </w:p>
          <w:p w14:paraId="53B9FD52" w14:textId="77777777" w:rsidR="00610DE6" w:rsidRDefault="003110C8" w:rsidP="008356B6">
            <w:pPr>
              <w:pStyle w:val="PLANNING"/>
              <w:rPr>
                <w:rFonts w:ascii="Calibri" w:hAnsi="Calibri"/>
                <w:b/>
                <w:bCs/>
                <w:szCs w:val="22"/>
              </w:rPr>
            </w:pPr>
            <w:r>
              <w:rPr>
                <w:rFonts w:ascii="Calibri" w:hAnsi="Calibri"/>
                <w:b/>
                <w:bCs/>
                <w:szCs w:val="22"/>
              </w:rPr>
              <w:t xml:space="preserve">3/2019/0896: </w:t>
            </w:r>
            <w:r w:rsidRPr="003110C8">
              <w:rPr>
                <w:rFonts w:ascii="Calibri" w:hAnsi="Calibri"/>
                <w:szCs w:val="22"/>
              </w:rPr>
              <w:t>Proposed two storey extensions to front and rear; single-storey infill extensions to front and rear; flat roof dormer extensions to side, front and rear. (approved with conditions).</w:t>
            </w:r>
            <w:r>
              <w:rPr>
                <w:rFonts w:ascii="Calibri" w:hAnsi="Calibri"/>
                <w:b/>
                <w:bCs/>
                <w:szCs w:val="22"/>
              </w:rPr>
              <w:t xml:space="preserve"> </w:t>
            </w:r>
          </w:p>
          <w:p w14:paraId="17147D50" w14:textId="36D8901B" w:rsidR="003110C8" w:rsidRPr="00D2449B" w:rsidRDefault="003110C8" w:rsidP="008356B6">
            <w:pPr>
              <w:pStyle w:val="PLANNING"/>
              <w:rPr>
                <w:rFonts w:ascii="Calibri" w:hAnsi="Calibri"/>
                <w:b/>
                <w:bCs/>
                <w:szCs w:val="22"/>
              </w:rPr>
            </w:pPr>
          </w:p>
        </w:tc>
      </w:tr>
      <w:tr w:rsidR="00C0704D" w:rsidRPr="00D2449B" w14:paraId="6AAC3B0A" w14:textId="77777777" w:rsidTr="00697735">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3BBFEAAB" w14:textId="06727CA5" w:rsidR="00A43CDE" w:rsidRDefault="003110C8" w:rsidP="008D26AB">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demi-detached property which front Chatburn Road in Clitheroe. The surrounding area is predominantly residential in nature, being typifies of varying styles of dwelling. The application site itself is not on any designated land. </w:t>
            </w:r>
          </w:p>
          <w:p w14:paraId="62370E9F" w14:textId="2B462E93" w:rsidR="003110C8" w:rsidRPr="006C2BFA" w:rsidRDefault="003110C8" w:rsidP="008D26AB">
            <w:pPr>
              <w:pStyle w:val="Header"/>
              <w:tabs>
                <w:tab w:val="clear" w:pos="4153"/>
                <w:tab w:val="clear" w:pos="8306"/>
              </w:tabs>
              <w:contextualSpacing/>
              <w:jc w:val="both"/>
              <w:rPr>
                <w:rFonts w:ascii="Calibri" w:hAnsi="Calibri"/>
                <w:bCs/>
                <w:szCs w:val="22"/>
              </w:rPr>
            </w:pPr>
          </w:p>
        </w:tc>
      </w:tr>
      <w:tr w:rsidR="00C0704D" w:rsidRPr="00D2449B" w14:paraId="408C6380"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5C43662" w14:textId="77777777" w:rsidR="00A43CDE" w:rsidRDefault="003110C8" w:rsidP="008D26AB">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single storey detached building within the rear curtilage of the dwelling to accommodate one bedroomed annex accommodation. The proposed annex will feature a bedroom, bathroom and open plan living space. </w:t>
            </w:r>
          </w:p>
          <w:p w14:paraId="1B20488F" w14:textId="6C3F1080" w:rsidR="003110C8" w:rsidRPr="00D54E67" w:rsidRDefault="003110C8" w:rsidP="008D26AB">
            <w:pPr>
              <w:pStyle w:val="Header"/>
              <w:tabs>
                <w:tab w:val="clear" w:pos="4153"/>
                <w:tab w:val="clear" w:pos="8306"/>
              </w:tabs>
              <w:jc w:val="both"/>
              <w:rPr>
                <w:rFonts w:ascii="Calibri" w:hAnsi="Calibri"/>
                <w:szCs w:val="22"/>
              </w:rPr>
            </w:pPr>
          </w:p>
        </w:tc>
      </w:tr>
      <w:tr w:rsidR="008D26AB" w:rsidRPr="00D2449B" w14:paraId="71009C76"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A20E78" w14:textId="77777777" w:rsidR="008D26AB" w:rsidRDefault="008D26AB" w:rsidP="008D26AB">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2F11E61D" w14:textId="77777777" w:rsidR="008D26AB" w:rsidRDefault="008D26AB" w:rsidP="008D26AB">
            <w:pPr>
              <w:pStyle w:val="Header"/>
              <w:tabs>
                <w:tab w:val="clear" w:pos="4153"/>
                <w:tab w:val="clear" w:pos="8306"/>
              </w:tabs>
              <w:contextualSpacing/>
              <w:jc w:val="both"/>
              <w:rPr>
                <w:rFonts w:ascii="Calibri" w:hAnsi="Calibri"/>
                <w:b/>
                <w:szCs w:val="22"/>
              </w:rPr>
            </w:pPr>
          </w:p>
          <w:p w14:paraId="589DF8DF" w14:textId="77777777" w:rsidR="000859A9" w:rsidRPr="000859A9" w:rsidRDefault="000859A9" w:rsidP="000859A9">
            <w:pPr>
              <w:pStyle w:val="Header"/>
              <w:tabs>
                <w:tab w:val="clear" w:pos="4153"/>
                <w:tab w:val="clear" w:pos="8306"/>
              </w:tabs>
              <w:contextualSpacing/>
              <w:rPr>
                <w:rFonts w:ascii="Calibri" w:hAnsi="Calibri"/>
                <w:szCs w:val="22"/>
              </w:rPr>
            </w:pPr>
            <w:r w:rsidRPr="000859A9">
              <w:rPr>
                <w:rFonts w:ascii="Calibri" w:hAnsi="Calibri"/>
                <w:szCs w:val="22"/>
              </w:rPr>
              <w:t xml:space="preserve">Given the proposal seeks consent for that of the erection of a replacement outbuilding to be utilised as a residential annex, Policy DMH5 of the Ribble Valley Core Strategy is primarily engaged for the purposes of assessing the acceptability of the principle of the development. </w:t>
            </w:r>
          </w:p>
          <w:p w14:paraId="3F61573B" w14:textId="77777777" w:rsidR="000859A9" w:rsidRPr="000859A9" w:rsidRDefault="000859A9" w:rsidP="000859A9">
            <w:pPr>
              <w:pStyle w:val="Header"/>
              <w:tabs>
                <w:tab w:val="clear" w:pos="4153"/>
                <w:tab w:val="clear" w:pos="8306"/>
              </w:tabs>
              <w:contextualSpacing/>
              <w:rPr>
                <w:rFonts w:ascii="Calibri" w:hAnsi="Calibri"/>
                <w:szCs w:val="22"/>
              </w:rPr>
            </w:pPr>
          </w:p>
          <w:p w14:paraId="145C5292" w14:textId="77777777" w:rsidR="000859A9" w:rsidRPr="000859A9" w:rsidRDefault="000859A9" w:rsidP="000859A9">
            <w:pPr>
              <w:pStyle w:val="Header"/>
              <w:tabs>
                <w:tab w:val="clear" w:pos="4153"/>
                <w:tab w:val="clear" w:pos="8306"/>
              </w:tabs>
              <w:contextualSpacing/>
              <w:rPr>
                <w:rFonts w:ascii="Calibri" w:hAnsi="Calibri"/>
                <w:szCs w:val="22"/>
              </w:rPr>
            </w:pPr>
            <w:r w:rsidRPr="000859A9">
              <w:rPr>
                <w:rFonts w:ascii="Calibri" w:hAnsi="Calibri"/>
                <w:szCs w:val="22"/>
              </w:rPr>
              <w:t xml:space="preserve">In respect of the proposed annex, Policy DMH5 reads as follows: </w:t>
            </w:r>
          </w:p>
          <w:p w14:paraId="34D8603D" w14:textId="77777777" w:rsidR="000859A9" w:rsidRPr="000859A9" w:rsidRDefault="000859A9" w:rsidP="000859A9">
            <w:pPr>
              <w:pStyle w:val="Header"/>
              <w:tabs>
                <w:tab w:val="clear" w:pos="4153"/>
                <w:tab w:val="clear" w:pos="8306"/>
              </w:tabs>
              <w:contextualSpacing/>
              <w:rPr>
                <w:rFonts w:ascii="Calibri" w:hAnsi="Calibri"/>
                <w:szCs w:val="22"/>
              </w:rPr>
            </w:pPr>
          </w:p>
          <w:p w14:paraId="6BF0DCA6" w14:textId="77777777" w:rsidR="000859A9" w:rsidRPr="000859A9" w:rsidRDefault="000859A9" w:rsidP="000859A9">
            <w:pPr>
              <w:pStyle w:val="Header"/>
              <w:tabs>
                <w:tab w:val="clear" w:pos="4153"/>
                <w:tab w:val="clear" w:pos="8306"/>
              </w:tabs>
              <w:contextualSpacing/>
              <w:rPr>
                <w:rFonts w:ascii="Calibri" w:hAnsi="Calibri"/>
                <w:i/>
                <w:iCs/>
                <w:szCs w:val="22"/>
              </w:rPr>
            </w:pPr>
            <w:r w:rsidRPr="000859A9">
              <w:rPr>
                <w:rFonts w:ascii="Calibri" w:hAnsi="Calibri"/>
                <w:i/>
                <w:iCs/>
                <w:szCs w:val="22"/>
              </w:rPr>
              <w:t>Proposals to extend or alter existing residential properties must accord with Policy DMG1 and any relevant designations within which the site is located.  Proposals that are for the extension of properties to provide accommodation for elderly or dependant relatives will also be subject to the following criteria:</w:t>
            </w:r>
          </w:p>
          <w:p w14:paraId="124DBA01" w14:textId="77777777" w:rsidR="000859A9" w:rsidRPr="000859A9" w:rsidRDefault="000859A9" w:rsidP="000859A9">
            <w:pPr>
              <w:pStyle w:val="Header"/>
              <w:tabs>
                <w:tab w:val="clear" w:pos="4153"/>
                <w:tab w:val="clear" w:pos="8306"/>
              </w:tabs>
              <w:contextualSpacing/>
              <w:rPr>
                <w:rFonts w:ascii="Calibri" w:hAnsi="Calibri"/>
                <w:i/>
                <w:iCs/>
                <w:szCs w:val="22"/>
              </w:rPr>
            </w:pPr>
          </w:p>
          <w:p w14:paraId="4AE568D7" w14:textId="77777777" w:rsidR="000859A9" w:rsidRPr="000859A9" w:rsidRDefault="000859A9" w:rsidP="000859A9">
            <w:pPr>
              <w:pStyle w:val="Header"/>
              <w:numPr>
                <w:ilvl w:val="0"/>
                <w:numId w:val="3"/>
              </w:numPr>
              <w:tabs>
                <w:tab w:val="clear" w:pos="4153"/>
                <w:tab w:val="clear" w:pos="8306"/>
              </w:tabs>
              <w:contextualSpacing/>
              <w:rPr>
                <w:rFonts w:ascii="Calibri" w:hAnsi="Calibri"/>
                <w:i/>
                <w:iCs/>
                <w:szCs w:val="22"/>
              </w:rPr>
            </w:pPr>
            <w:r w:rsidRPr="000859A9">
              <w:rPr>
                <w:rFonts w:ascii="Calibri" w:hAnsi="Calibri"/>
                <w:i/>
                <w:iCs/>
                <w:szCs w:val="22"/>
              </w:rPr>
              <w:t>The development must be capable of integration into the main dwelling or a use that is ancillary to the use of the main dwelling housing when circumstances change.</w:t>
            </w:r>
          </w:p>
          <w:p w14:paraId="5DF3EDF3" w14:textId="77777777" w:rsidR="000859A9" w:rsidRPr="000859A9" w:rsidRDefault="000859A9" w:rsidP="000859A9">
            <w:pPr>
              <w:pStyle w:val="Header"/>
              <w:numPr>
                <w:ilvl w:val="0"/>
                <w:numId w:val="3"/>
              </w:numPr>
              <w:tabs>
                <w:tab w:val="clear" w:pos="4153"/>
                <w:tab w:val="clear" w:pos="8306"/>
              </w:tabs>
              <w:contextualSpacing/>
              <w:rPr>
                <w:rFonts w:ascii="Calibri" w:hAnsi="Calibri"/>
                <w:i/>
                <w:iCs/>
                <w:szCs w:val="22"/>
              </w:rPr>
            </w:pPr>
            <w:r w:rsidRPr="000859A9">
              <w:rPr>
                <w:rFonts w:ascii="Calibri" w:hAnsi="Calibri"/>
                <w:i/>
                <w:iCs/>
                <w:szCs w:val="22"/>
              </w:rPr>
              <w:t xml:space="preserve">The extension should generally speaking provide only a modest level of accommodation. </w:t>
            </w:r>
          </w:p>
          <w:p w14:paraId="26C85D3C" w14:textId="77777777" w:rsidR="000859A9" w:rsidRPr="000859A9" w:rsidRDefault="000859A9" w:rsidP="008D26AB">
            <w:pPr>
              <w:pStyle w:val="Header"/>
              <w:tabs>
                <w:tab w:val="clear" w:pos="4153"/>
                <w:tab w:val="clear" w:pos="8306"/>
              </w:tabs>
              <w:contextualSpacing/>
              <w:jc w:val="both"/>
              <w:rPr>
                <w:rFonts w:ascii="Calibri" w:hAnsi="Calibri"/>
                <w:bCs/>
                <w:szCs w:val="22"/>
              </w:rPr>
            </w:pPr>
          </w:p>
          <w:p w14:paraId="78494A6C" w14:textId="037DFA0B" w:rsidR="008D26AB" w:rsidRPr="000859A9" w:rsidRDefault="000859A9" w:rsidP="008D26AB">
            <w:pPr>
              <w:pStyle w:val="Header"/>
              <w:tabs>
                <w:tab w:val="clear" w:pos="4153"/>
                <w:tab w:val="clear" w:pos="8306"/>
              </w:tabs>
              <w:jc w:val="both"/>
              <w:rPr>
                <w:rFonts w:ascii="Calibri" w:hAnsi="Calibri"/>
                <w:bCs/>
                <w:szCs w:val="22"/>
              </w:rPr>
            </w:pPr>
            <w:r w:rsidRPr="000859A9">
              <w:rPr>
                <w:rFonts w:ascii="Calibri" w:hAnsi="Calibri"/>
                <w:bCs/>
                <w:szCs w:val="22"/>
              </w:rPr>
              <w:t xml:space="preserve">The proposed annex building being located in the rear curtilage of the dwelling would be capable of conversion to a building incidental to the use of the dwelling, should its use as an annex cease. Therefore, it is considered to comply with point one of the above policy. The proposed annex provides relatively modest one bedroomed accommodation, with bathroom and living space, to comply with point tow of the above. As such, the principle of the development is secured subject to other material considerations. </w:t>
            </w:r>
          </w:p>
          <w:p w14:paraId="6D65AF3D" w14:textId="4EDA3CED" w:rsidR="000859A9" w:rsidRDefault="000859A9" w:rsidP="008D26AB">
            <w:pPr>
              <w:pStyle w:val="Header"/>
              <w:tabs>
                <w:tab w:val="clear" w:pos="4153"/>
                <w:tab w:val="clear" w:pos="8306"/>
              </w:tabs>
              <w:jc w:val="both"/>
              <w:rPr>
                <w:rFonts w:ascii="Calibri" w:hAnsi="Calibri"/>
                <w:b/>
                <w:szCs w:val="22"/>
              </w:rPr>
            </w:pPr>
          </w:p>
        </w:tc>
      </w:tr>
      <w:tr w:rsidR="00C0704D" w:rsidRPr="00D2449B" w14:paraId="617768FF"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CB838A2" w14:textId="77777777" w:rsidR="00065833" w:rsidRDefault="00753637" w:rsidP="00406EBD">
            <w:pPr>
              <w:contextualSpacing/>
              <w:rPr>
                <w:rFonts w:ascii="Calibri" w:hAnsi="Calibri"/>
                <w:szCs w:val="22"/>
              </w:rPr>
            </w:pPr>
            <w:r>
              <w:rPr>
                <w:rFonts w:ascii="Calibri" w:hAnsi="Calibri"/>
                <w:szCs w:val="22"/>
              </w:rPr>
              <w:t>The proposed develop</w:t>
            </w:r>
            <w:r w:rsidR="00417C80">
              <w:rPr>
                <w:rFonts w:ascii="Calibri" w:hAnsi="Calibri"/>
                <w:szCs w:val="22"/>
              </w:rPr>
              <w:t>ment</w:t>
            </w:r>
            <w:r>
              <w:rPr>
                <w:rFonts w:ascii="Calibri" w:hAnsi="Calibri"/>
                <w:szCs w:val="22"/>
              </w:rPr>
              <w:t xml:space="preserve">, being located within the rear curtilage, has three immediately adjoining neighbouring dwellings. These are known as </w:t>
            </w:r>
            <w:r w:rsidR="00417C80">
              <w:rPr>
                <w:rFonts w:ascii="Calibri" w:hAnsi="Calibri"/>
                <w:szCs w:val="22"/>
              </w:rPr>
              <w:t>No.87 and No.89a Chatburn Road and No.4 Somerset Avenue. Given the scale of the rear gardens for the properties along Chatburn Road, including the neighbouring No.87 and No.89a, the proposed annex will abut only a small portion of the adjoining shared boundary lines. As such, it is not considered that three would be any significant loss of light or sense overbearing to residential amenity space. In addition, there is existing boundary treatment to provide screening</w:t>
            </w:r>
            <w:r w:rsidR="008F6CD1">
              <w:rPr>
                <w:rFonts w:ascii="Calibri" w:hAnsi="Calibri"/>
                <w:szCs w:val="22"/>
              </w:rPr>
              <w:t xml:space="preserve">. </w:t>
            </w:r>
          </w:p>
          <w:p w14:paraId="37927D13" w14:textId="77777777" w:rsidR="008F6CD1" w:rsidRDefault="008F6CD1" w:rsidP="00406EBD">
            <w:pPr>
              <w:contextualSpacing/>
              <w:rPr>
                <w:rFonts w:ascii="Calibri" w:hAnsi="Calibri"/>
                <w:szCs w:val="22"/>
              </w:rPr>
            </w:pPr>
          </w:p>
          <w:p w14:paraId="7A031016" w14:textId="07317C50" w:rsidR="008F6CD1" w:rsidRDefault="008F6CD1" w:rsidP="00406EBD">
            <w:pPr>
              <w:contextualSpacing/>
              <w:rPr>
                <w:rFonts w:ascii="Calibri" w:hAnsi="Calibri"/>
                <w:szCs w:val="22"/>
              </w:rPr>
            </w:pPr>
            <w:r>
              <w:rPr>
                <w:rFonts w:ascii="Calibri" w:hAnsi="Calibri"/>
                <w:szCs w:val="22"/>
              </w:rPr>
              <w:t xml:space="preserve">No.4 </w:t>
            </w:r>
            <w:r w:rsidR="00891FA4">
              <w:rPr>
                <w:rFonts w:ascii="Calibri" w:hAnsi="Calibri"/>
                <w:szCs w:val="22"/>
              </w:rPr>
              <w:t>Somerset Avenue</w:t>
            </w:r>
            <w:r>
              <w:rPr>
                <w:rFonts w:ascii="Calibri" w:hAnsi="Calibri"/>
                <w:szCs w:val="22"/>
              </w:rPr>
              <w:t xml:space="preserve"> is located </w:t>
            </w:r>
            <w:r w:rsidR="00891FA4">
              <w:rPr>
                <w:rFonts w:ascii="Calibri" w:hAnsi="Calibri"/>
                <w:szCs w:val="22"/>
              </w:rPr>
              <w:t>immediately</w:t>
            </w:r>
            <w:r>
              <w:rPr>
                <w:rFonts w:ascii="Calibri" w:hAnsi="Calibri"/>
                <w:szCs w:val="22"/>
              </w:rPr>
              <w:t xml:space="preserve"> adjacent </w:t>
            </w:r>
            <w:r w:rsidR="00891FA4">
              <w:rPr>
                <w:rFonts w:ascii="Calibri" w:hAnsi="Calibri"/>
                <w:szCs w:val="22"/>
              </w:rPr>
              <w:t>to</w:t>
            </w:r>
            <w:r>
              <w:rPr>
                <w:rFonts w:ascii="Calibri" w:hAnsi="Calibri"/>
                <w:szCs w:val="22"/>
              </w:rPr>
              <w:t xml:space="preserve"> the rear </w:t>
            </w:r>
            <w:r w:rsidR="00891FA4">
              <w:rPr>
                <w:rFonts w:ascii="Calibri" w:hAnsi="Calibri"/>
                <w:szCs w:val="22"/>
              </w:rPr>
              <w:t>curtilage</w:t>
            </w:r>
            <w:r>
              <w:rPr>
                <w:rFonts w:ascii="Calibri" w:hAnsi="Calibri"/>
                <w:szCs w:val="22"/>
              </w:rPr>
              <w:t xml:space="preserve"> of the application </w:t>
            </w:r>
            <w:r w:rsidR="00891FA4">
              <w:rPr>
                <w:rFonts w:ascii="Calibri" w:hAnsi="Calibri"/>
                <w:szCs w:val="22"/>
              </w:rPr>
              <w:t>property</w:t>
            </w:r>
            <w:r>
              <w:rPr>
                <w:rFonts w:ascii="Calibri" w:hAnsi="Calibri"/>
                <w:szCs w:val="22"/>
              </w:rPr>
              <w:t xml:space="preserve"> and is sited on a lower ground level. The </w:t>
            </w:r>
            <w:r w:rsidR="00891FA4">
              <w:rPr>
                <w:rFonts w:ascii="Calibri" w:hAnsi="Calibri"/>
                <w:szCs w:val="22"/>
              </w:rPr>
              <w:t xml:space="preserve">original </w:t>
            </w:r>
            <w:r>
              <w:rPr>
                <w:rFonts w:ascii="Calibri" w:hAnsi="Calibri"/>
                <w:szCs w:val="22"/>
              </w:rPr>
              <w:t xml:space="preserve">submission had the annex </w:t>
            </w:r>
            <w:r w:rsidR="00891FA4">
              <w:rPr>
                <w:rFonts w:ascii="Calibri" w:hAnsi="Calibri"/>
                <w:szCs w:val="22"/>
              </w:rPr>
              <w:t xml:space="preserve">positioned </w:t>
            </w:r>
            <w:r>
              <w:rPr>
                <w:rFonts w:ascii="Calibri" w:hAnsi="Calibri"/>
                <w:szCs w:val="22"/>
              </w:rPr>
              <w:t xml:space="preserve">immediately </w:t>
            </w:r>
            <w:r w:rsidR="00891FA4">
              <w:rPr>
                <w:rFonts w:ascii="Calibri" w:hAnsi="Calibri"/>
                <w:szCs w:val="22"/>
              </w:rPr>
              <w:t>adjacent</w:t>
            </w:r>
            <w:r>
              <w:rPr>
                <w:rFonts w:ascii="Calibri" w:hAnsi="Calibri"/>
                <w:szCs w:val="22"/>
              </w:rPr>
              <w:t xml:space="preserve"> </w:t>
            </w:r>
            <w:r w:rsidR="00891FA4">
              <w:rPr>
                <w:rFonts w:ascii="Calibri" w:hAnsi="Calibri"/>
                <w:szCs w:val="22"/>
              </w:rPr>
              <w:t>to</w:t>
            </w:r>
            <w:r>
              <w:rPr>
                <w:rFonts w:ascii="Calibri" w:hAnsi="Calibri"/>
                <w:szCs w:val="22"/>
              </w:rPr>
              <w:t xml:space="preserve"> the </w:t>
            </w:r>
            <w:r w:rsidR="00891FA4">
              <w:rPr>
                <w:rFonts w:ascii="Calibri" w:hAnsi="Calibri"/>
                <w:szCs w:val="22"/>
              </w:rPr>
              <w:t>shared</w:t>
            </w:r>
            <w:r>
              <w:rPr>
                <w:rFonts w:ascii="Calibri" w:hAnsi="Calibri"/>
                <w:szCs w:val="22"/>
              </w:rPr>
              <w:t xml:space="preserve"> </w:t>
            </w:r>
            <w:r w:rsidR="00891FA4">
              <w:rPr>
                <w:rFonts w:ascii="Calibri" w:hAnsi="Calibri"/>
                <w:szCs w:val="22"/>
              </w:rPr>
              <w:t>boundary</w:t>
            </w:r>
            <w:r>
              <w:rPr>
                <w:rFonts w:ascii="Calibri" w:hAnsi="Calibri"/>
                <w:szCs w:val="22"/>
              </w:rPr>
              <w:t xml:space="preserve"> and </w:t>
            </w:r>
            <w:r w:rsidR="00891FA4">
              <w:rPr>
                <w:rFonts w:ascii="Calibri" w:hAnsi="Calibri"/>
                <w:szCs w:val="22"/>
              </w:rPr>
              <w:t>subsequently</w:t>
            </w:r>
            <w:r>
              <w:rPr>
                <w:rFonts w:ascii="Calibri" w:hAnsi="Calibri"/>
                <w:szCs w:val="22"/>
              </w:rPr>
              <w:t xml:space="preserve"> there were </w:t>
            </w:r>
            <w:r w:rsidR="00891FA4">
              <w:rPr>
                <w:rFonts w:ascii="Calibri" w:hAnsi="Calibri"/>
                <w:szCs w:val="22"/>
              </w:rPr>
              <w:t>concerns</w:t>
            </w:r>
            <w:r>
              <w:rPr>
                <w:rFonts w:ascii="Calibri" w:hAnsi="Calibri"/>
                <w:szCs w:val="22"/>
              </w:rPr>
              <w:t xml:space="preserve"> over </w:t>
            </w:r>
            <w:r w:rsidR="00891FA4">
              <w:rPr>
                <w:rFonts w:ascii="Calibri" w:hAnsi="Calibri"/>
                <w:szCs w:val="22"/>
              </w:rPr>
              <w:t>potential</w:t>
            </w:r>
            <w:r>
              <w:rPr>
                <w:rFonts w:ascii="Calibri" w:hAnsi="Calibri"/>
                <w:szCs w:val="22"/>
              </w:rPr>
              <w:t xml:space="preserve"> loss of light and sense of overbearing for the </w:t>
            </w:r>
            <w:r w:rsidR="00891FA4">
              <w:rPr>
                <w:rFonts w:ascii="Calibri" w:hAnsi="Calibri"/>
                <w:szCs w:val="22"/>
              </w:rPr>
              <w:t>receptors</w:t>
            </w:r>
            <w:r>
              <w:rPr>
                <w:rFonts w:ascii="Calibri" w:hAnsi="Calibri"/>
                <w:szCs w:val="22"/>
              </w:rPr>
              <w:t xml:space="preserve"> of No.4. Following </w:t>
            </w:r>
            <w:r w:rsidR="00891FA4">
              <w:rPr>
                <w:rFonts w:ascii="Calibri" w:hAnsi="Calibri"/>
                <w:szCs w:val="22"/>
              </w:rPr>
              <w:t>discussion</w:t>
            </w:r>
            <w:r>
              <w:rPr>
                <w:rFonts w:ascii="Calibri" w:hAnsi="Calibri"/>
                <w:szCs w:val="22"/>
              </w:rPr>
              <w:t xml:space="preserve">, </w:t>
            </w:r>
            <w:r w:rsidR="00891FA4">
              <w:rPr>
                <w:rFonts w:ascii="Calibri" w:hAnsi="Calibri"/>
                <w:szCs w:val="22"/>
              </w:rPr>
              <w:t xml:space="preserve">the annex was re-positioned so that there is now a sufficient separation distance of 3 metres between the building and the shared boundary, to mitigate any potential overbearing/loss of light. </w:t>
            </w:r>
          </w:p>
          <w:p w14:paraId="0DB485A3" w14:textId="6E5E0873" w:rsidR="00891FA4" w:rsidRPr="00C0704D" w:rsidRDefault="00891FA4" w:rsidP="00406EBD">
            <w:pPr>
              <w:contextualSpacing/>
              <w:rPr>
                <w:rFonts w:ascii="Calibri" w:hAnsi="Calibri"/>
                <w:szCs w:val="22"/>
              </w:rPr>
            </w:pPr>
          </w:p>
        </w:tc>
      </w:tr>
      <w:tr w:rsidR="00C0704D" w:rsidRPr="00D2449B" w14:paraId="6754C065"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8E805CD" w14:textId="77777777" w:rsidR="00065833" w:rsidRDefault="003C5B28" w:rsidP="00406EBD">
            <w:pPr>
              <w:contextualSpacing/>
            </w:pPr>
            <w:r>
              <w:t xml:space="preserve"> </w:t>
            </w:r>
          </w:p>
          <w:p w14:paraId="5CB5C82B" w14:textId="77777777" w:rsidR="009C1F22" w:rsidRPr="002751E5" w:rsidRDefault="002708C3" w:rsidP="00406EBD">
            <w:pPr>
              <w:contextualSpacing/>
              <w:rPr>
                <w:rFonts w:asciiTheme="minorHAnsi" w:hAnsiTheme="minorHAnsi" w:cstheme="minorHAnsi"/>
              </w:rPr>
            </w:pPr>
            <w:r w:rsidRPr="002751E5">
              <w:rPr>
                <w:rFonts w:asciiTheme="minorHAnsi" w:hAnsiTheme="minorHAnsi" w:cstheme="minorHAnsi"/>
              </w:rPr>
              <w:lastRenderedPageBreak/>
              <w:t xml:space="preserve">The </w:t>
            </w:r>
            <w:r w:rsidR="00EC29CB" w:rsidRPr="002751E5">
              <w:rPr>
                <w:rFonts w:asciiTheme="minorHAnsi" w:hAnsiTheme="minorHAnsi" w:cstheme="minorHAnsi"/>
              </w:rPr>
              <w:t>proposed</w:t>
            </w:r>
            <w:r w:rsidRPr="002751E5">
              <w:rPr>
                <w:rFonts w:asciiTheme="minorHAnsi" w:hAnsiTheme="minorHAnsi" w:cstheme="minorHAnsi"/>
              </w:rPr>
              <w:t xml:space="preserve"> annex will be located </w:t>
            </w:r>
            <w:r w:rsidR="00EC29CB" w:rsidRPr="002751E5">
              <w:rPr>
                <w:rFonts w:asciiTheme="minorHAnsi" w:hAnsiTheme="minorHAnsi" w:cstheme="minorHAnsi"/>
              </w:rPr>
              <w:t>to</w:t>
            </w:r>
            <w:r w:rsidRPr="002751E5">
              <w:rPr>
                <w:rFonts w:asciiTheme="minorHAnsi" w:hAnsiTheme="minorHAnsi" w:cstheme="minorHAnsi"/>
              </w:rPr>
              <w:t xml:space="preserve"> the rear of the application </w:t>
            </w:r>
            <w:r w:rsidR="00EC29CB" w:rsidRPr="002751E5">
              <w:rPr>
                <w:rFonts w:asciiTheme="minorHAnsi" w:hAnsiTheme="minorHAnsi" w:cstheme="minorHAnsi"/>
              </w:rPr>
              <w:t xml:space="preserve">dwelling </w:t>
            </w:r>
            <w:r w:rsidRPr="002751E5">
              <w:rPr>
                <w:rFonts w:asciiTheme="minorHAnsi" w:hAnsiTheme="minorHAnsi" w:cstheme="minorHAnsi"/>
              </w:rPr>
              <w:t xml:space="preserve">and will therefore be </w:t>
            </w:r>
            <w:r w:rsidR="00EC29CB" w:rsidRPr="002751E5">
              <w:rPr>
                <w:rFonts w:asciiTheme="minorHAnsi" w:hAnsiTheme="minorHAnsi" w:cstheme="minorHAnsi"/>
              </w:rPr>
              <w:t>completely</w:t>
            </w:r>
            <w:r w:rsidRPr="002751E5">
              <w:rPr>
                <w:rFonts w:asciiTheme="minorHAnsi" w:hAnsiTheme="minorHAnsi" w:cstheme="minorHAnsi"/>
              </w:rPr>
              <w:t xml:space="preserve"> screened from </w:t>
            </w:r>
            <w:r w:rsidR="00EC29CB" w:rsidRPr="002751E5">
              <w:rPr>
                <w:rFonts w:asciiTheme="minorHAnsi" w:hAnsiTheme="minorHAnsi" w:cstheme="minorHAnsi"/>
              </w:rPr>
              <w:t>within</w:t>
            </w:r>
            <w:r w:rsidRPr="002751E5">
              <w:rPr>
                <w:rFonts w:asciiTheme="minorHAnsi" w:hAnsiTheme="minorHAnsi" w:cstheme="minorHAnsi"/>
              </w:rPr>
              <w:t xml:space="preserve"> the public realm. </w:t>
            </w:r>
            <w:r w:rsidR="00EC29CB" w:rsidRPr="002751E5">
              <w:rPr>
                <w:rFonts w:asciiTheme="minorHAnsi" w:hAnsiTheme="minorHAnsi" w:cstheme="minorHAnsi"/>
              </w:rPr>
              <w:t>Nonetheless</w:t>
            </w:r>
            <w:r w:rsidRPr="002751E5">
              <w:rPr>
                <w:rFonts w:asciiTheme="minorHAnsi" w:hAnsiTheme="minorHAnsi" w:cstheme="minorHAnsi"/>
              </w:rPr>
              <w:t xml:space="preserve">, the overall footprint of the annex is modest and will take an </w:t>
            </w:r>
            <w:r w:rsidR="00EC29CB" w:rsidRPr="002751E5">
              <w:rPr>
                <w:rFonts w:asciiTheme="minorHAnsi" w:hAnsiTheme="minorHAnsi" w:cstheme="minorHAnsi"/>
              </w:rPr>
              <w:t>entirety</w:t>
            </w:r>
            <w:r w:rsidRPr="002751E5">
              <w:rPr>
                <w:rFonts w:asciiTheme="minorHAnsi" w:hAnsiTheme="minorHAnsi" w:cstheme="minorHAnsi"/>
              </w:rPr>
              <w:t xml:space="preserve"> subservient position </w:t>
            </w:r>
            <w:r w:rsidR="00EC29CB" w:rsidRPr="002751E5">
              <w:rPr>
                <w:rFonts w:asciiTheme="minorHAnsi" w:hAnsiTheme="minorHAnsi" w:cstheme="minorHAnsi"/>
              </w:rPr>
              <w:t>to</w:t>
            </w:r>
            <w:r w:rsidRPr="002751E5">
              <w:rPr>
                <w:rFonts w:asciiTheme="minorHAnsi" w:hAnsiTheme="minorHAnsi" w:cstheme="minorHAnsi"/>
              </w:rPr>
              <w:t xml:space="preserve"> the application dwelling. </w:t>
            </w:r>
          </w:p>
          <w:p w14:paraId="07093782" w14:textId="77777777" w:rsidR="00EC29CB" w:rsidRPr="002751E5" w:rsidRDefault="00EC29CB" w:rsidP="00406EBD">
            <w:pPr>
              <w:contextualSpacing/>
              <w:rPr>
                <w:rFonts w:asciiTheme="minorHAnsi" w:hAnsiTheme="minorHAnsi" w:cstheme="minorHAnsi"/>
              </w:rPr>
            </w:pPr>
          </w:p>
          <w:p w14:paraId="71166C30" w14:textId="5301D350" w:rsidR="00EC29CB" w:rsidRPr="002751E5" w:rsidRDefault="00EC29CB" w:rsidP="00406EBD">
            <w:pPr>
              <w:contextualSpacing/>
              <w:rPr>
                <w:rFonts w:asciiTheme="minorHAnsi" w:hAnsiTheme="minorHAnsi" w:cstheme="minorHAnsi"/>
              </w:rPr>
            </w:pPr>
            <w:r w:rsidRPr="002751E5">
              <w:rPr>
                <w:rFonts w:asciiTheme="minorHAnsi" w:hAnsiTheme="minorHAnsi" w:cstheme="minorHAnsi"/>
              </w:rPr>
              <w:t xml:space="preserve">The proposed development will be constructed in anthracite cladding, with a slate roof and uPVC windows. Whilst composite cladding of this nature isn’t a material found commonly in the locality, given the screened location of the annex at the rear of the dwelling, it is not considered that this would be of harm to the character of the area. </w:t>
            </w:r>
          </w:p>
          <w:p w14:paraId="10A3648A" w14:textId="02032F32" w:rsidR="00EC29CB" w:rsidRPr="00065833" w:rsidRDefault="00EC29CB" w:rsidP="00406EBD">
            <w:pPr>
              <w:contextualSpacing/>
            </w:pPr>
          </w:p>
        </w:tc>
      </w:tr>
      <w:tr w:rsidR="00824DB6" w:rsidRPr="00D2449B" w14:paraId="673C0DDB"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3E13B0EC" w14:textId="77777777" w:rsidR="00697735" w:rsidRPr="00697735" w:rsidRDefault="00697735" w:rsidP="00697735">
            <w:pPr>
              <w:contextualSpacing/>
              <w:rPr>
                <w:rFonts w:ascii="Calibri" w:hAnsi="Calibri"/>
                <w:bCs/>
                <w:szCs w:val="22"/>
              </w:rPr>
            </w:pPr>
            <w:r w:rsidRPr="00697735">
              <w:rPr>
                <w:rFonts w:ascii="Calibri" w:hAnsi="Calibri"/>
                <w:bCs/>
                <w:szCs w:val="22"/>
              </w:rPr>
              <w:t>LCC Highways were consulted in relation to the proposal and raise no objection subject to conditions relating to the use of the building and the submission of a construction management plan.</w:t>
            </w:r>
          </w:p>
          <w:p w14:paraId="14772A46" w14:textId="77777777" w:rsidR="00697735" w:rsidRPr="00697735" w:rsidRDefault="00697735" w:rsidP="00697735">
            <w:pPr>
              <w:contextualSpacing/>
              <w:rPr>
                <w:rFonts w:ascii="Calibri" w:hAnsi="Calibri"/>
                <w:bCs/>
                <w:szCs w:val="22"/>
              </w:rPr>
            </w:pPr>
          </w:p>
          <w:p w14:paraId="3A9D7F6B" w14:textId="77777777" w:rsidR="00697735" w:rsidRPr="00697735" w:rsidRDefault="00697735" w:rsidP="00697735">
            <w:pPr>
              <w:contextualSpacing/>
              <w:rPr>
                <w:rFonts w:ascii="Calibri" w:hAnsi="Calibri"/>
                <w:bCs/>
                <w:szCs w:val="22"/>
              </w:rPr>
            </w:pPr>
            <w:r w:rsidRPr="00697735">
              <w:rPr>
                <w:rFonts w:ascii="Calibri" w:hAnsi="Calibri"/>
                <w:bCs/>
                <w:szCs w:val="22"/>
              </w:rPr>
              <w:t xml:space="preserve">Given the modest nature of development and taking into account that outbuildings of a similar nature can often be constructed under permitted development, it is not considered that there is sufficient justification to request a construction management plan in this instance. </w:t>
            </w:r>
          </w:p>
          <w:p w14:paraId="337694ED" w14:textId="3599B85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4C008BBB" w14:textId="6E98636C" w:rsidR="00873A6E" w:rsidRDefault="00873A6E" w:rsidP="00406EBD">
            <w:pPr>
              <w:contextualSpacing/>
              <w:rPr>
                <w:rFonts w:ascii="Calibri" w:hAnsi="Calibri"/>
                <w:bCs/>
                <w:szCs w:val="22"/>
                <w:u w:val="single"/>
              </w:rPr>
            </w:pPr>
            <w:r w:rsidRPr="00873A6E">
              <w:rPr>
                <w:rFonts w:ascii="Calibri" w:hAnsi="Calibri"/>
                <w:bCs/>
                <w:szCs w:val="22"/>
                <w:u w:val="single"/>
              </w:rPr>
              <w:t xml:space="preserve">Biodiversity Net Gain. </w:t>
            </w:r>
          </w:p>
          <w:p w14:paraId="591BD753" w14:textId="77777777" w:rsidR="003110C8" w:rsidRDefault="003110C8" w:rsidP="00406EBD">
            <w:pPr>
              <w:contextualSpacing/>
              <w:rPr>
                <w:rFonts w:ascii="Calibri" w:hAnsi="Calibri"/>
                <w:bCs/>
                <w:szCs w:val="22"/>
                <w:u w:val="single"/>
              </w:rPr>
            </w:pPr>
          </w:p>
          <w:p w14:paraId="221CDDEB" w14:textId="540F7D8F" w:rsidR="003110C8" w:rsidRPr="003110C8" w:rsidRDefault="003110C8" w:rsidP="00406EBD">
            <w:pPr>
              <w:contextualSpacing/>
              <w:rPr>
                <w:rFonts w:ascii="Calibri" w:hAnsi="Calibri"/>
                <w:bCs/>
                <w:szCs w:val="22"/>
              </w:rPr>
            </w:pPr>
            <w:r w:rsidRPr="003110C8">
              <w:rPr>
                <w:rFonts w:ascii="Calibri" w:hAnsi="Calibri"/>
                <w:bCs/>
                <w:szCs w:val="22"/>
              </w:rPr>
              <w:t>The development is exempt from having to achieve the mandatory Biodiversity Net Gain requirement as it is</w:t>
            </w:r>
            <w:r>
              <w:rPr>
                <w:rFonts w:ascii="Calibri" w:hAnsi="Calibri"/>
                <w:bCs/>
                <w:szCs w:val="22"/>
              </w:rPr>
              <w:t xml:space="preserve"> a householder application. </w:t>
            </w:r>
          </w:p>
          <w:p w14:paraId="547CA8D5" w14:textId="77777777" w:rsidR="00873A6E" w:rsidRDefault="00873A6E" w:rsidP="00406EBD">
            <w:pPr>
              <w:contextualSpacing/>
              <w:rPr>
                <w:rFonts w:ascii="Calibri" w:hAnsi="Calibri"/>
                <w:b/>
                <w:szCs w:val="22"/>
              </w:rPr>
            </w:pPr>
          </w:p>
          <w:p w14:paraId="3EDA6FB8" w14:textId="77777777" w:rsidR="00697735" w:rsidRDefault="00873A6E" w:rsidP="00697735">
            <w:pPr>
              <w:contextualSpacing/>
              <w:rPr>
                <w:rFonts w:ascii="Calibri" w:hAnsi="Calibri"/>
                <w:bCs/>
                <w:szCs w:val="22"/>
              </w:rPr>
            </w:pPr>
            <w:r w:rsidRPr="00873A6E">
              <w:rPr>
                <w:rFonts w:ascii="Calibri" w:hAnsi="Calibri"/>
                <w:bCs/>
                <w:szCs w:val="22"/>
              </w:rPr>
              <w:t xml:space="preserve">No </w:t>
            </w:r>
            <w:r>
              <w:rPr>
                <w:rFonts w:ascii="Calibri" w:hAnsi="Calibri"/>
                <w:bCs/>
                <w:szCs w:val="22"/>
              </w:rPr>
              <w:t xml:space="preserve">other </w:t>
            </w:r>
            <w:r w:rsidRPr="00873A6E">
              <w:rPr>
                <w:rFonts w:ascii="Calibri" w:hAnsi="Calibri"/>
                <w:bCs/>
                <w:szCs w:val="22"/>
              </w:rPr>
              <w:t xml:space="preserve">ecological constraints identified. </w:t>
            </w:r>
          </w:p>
          <w:p w14:paraId="6337C4D8" w14:textId="48E4279A" w:rsidR="003110C8" w:rsidRPr="00873A6E" w:rsidRDefault="003110C8" w:rsidP="00697735">
            <w:pPr>
              <w:contextualSpacing/>
              <w:rPr>
                <w:rFonts w:ascii="Calibri" w:hAnsi="Calibri"/>
                <w:bCs/>
                <w:szCs w:val="22"/>
              </w:rPr>
            </w:pPr>
          </w:p>
        </w:tc>
      </w:tr>
      <w:tr w:rsidR="00C0704D" w:rsidRPr="00D2449B" w14:paraId="0A9D02B4"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697735">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5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697735">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F6777"/>
    <w:multiLevelType w:val="hybridMultilevel"/>
    <w:tmpl w:val="38E0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794F61"/>
    <w:multiLevelType w:val="hybridMultilevel"/>
    <w:tmpl w:val="68BED8F4"/>
    <w:lvl w:ilvl="0" w:tplc="03A89908">
      <w:start w:val="8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144615875">
    <w:abstractNumId w:val="0"/>
  </w:num>
  <w:num w:numId="3" w16cid:durableId="852576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974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6599"/>
    <w:rsid w:val="00065833"/>
    <w:rsid w:val="00083FCD"/>
    <w:rsid w:val="000859A9"/>
    <w:rsid w:val="000A6867"/>
    <w:rsid w:val="000B5CB5"/>
    <w:rsid w:val="00130035"/>
    <w:rsid w:val="001D4F7A"/>
    <w:rsid w:val="00250879"/>
    <w:rsid w:val="0026635F"/>
    <w:rsid w:val="002708C3"/>
    <w:rsid w:val="002751E5"/>
    <w:rsid w:val="00282E3A"/>
    <w:rsid w:val="0029334A"/>
    <w:rsid w:val="002954E5"/>
    <w:rsid w:val="00295A61"/>
    <w:rsid w:val="002A01CF"/>
    <w:rsid w:val="002C5DEA"/>
    <w:rsid w:val="002C6277"/>
    <w:rsid w:val="002F2580"/>
    <w:rsid w:val="003110C8"/>
    <w:rsid w:val="00321B6E"/>
    <w:rsid w:val="00375556"/>
    <w:rsid w:val="003976AD"/>
    <w:rsid w:val="003C1D76"/>
    <w:rsid w:val="003C5B28"/>
    <w:rsid w:val="00406EBD"/>
    <w:rsid w:val="00417C80"/>
    <w:rsid w:val="00440CB6"/>
    <w:rsid w:val="0046548C"/>
    <w:rsid w:val="004947BB"/>
    <w:rsid w:val="00497407"/>
    <w:rsid w:val="004A5EA9"/>
    <w:rsid w:val="004C2434"/>
    <w:rsid w:val="004E1D72"/>
    <w:rsid w:val="004F0649"/>
    <w:rsid w:val="00510FA2"/>
    <w:rsid w:val="00556ECD"/>
    <w:rsid w:val="0059215A"/>
    <w:rsid w:val="005E1C6C"/>
    <w:rsid w:val="005E65DF"/>
    <w:rsid w:val="005F1A36"/>
    <w:rsid w:val="00610DE6"/>
    <w:rsid w:val="00665D63"/>
    <w:rsid w:val="00692B60"/>
    <w:rsid w:val="00696B04"/>
    <w:rsid w:val="00697735"/>
    <w:rsid w:val="006A71AD"/>
    <w:rsid w:val="006B3337"/>
    <w:rsid w:val="006C2BFA"/>
    <w:rsid w:val="006C68E7"/>
    <w:rsid w:val="006F6849"/>
    <w:rsid w:val="0070054B"/>
    <w:rsid w:val="00753637"/>
    <w:rsid w:val="00761D2C"/>
    <w:rsid w:val="00773A66"/>
    <w:rsid w:val="00776AE2"/>
    <w:rsid w:val="007B3CB4"/>
    <w:rsid w:val="007C791C"/>
    <w:rsid w:val="007D0CEC"/>
    <w:rsid w:val="007D7DF4"/>
    <w:rsid w:val="007E0D23"/>
    <w:rsid w:val="007F16D6"/>
    <w:rsid w:val="00811771"/>
    <w:rsid w:val="00824DB6"/>
    <w:rsid w:val="008356B6"/>
    <w:rsid w:val="00837F4F"/>
    <w:rsid w:val="008430D2"/>
    <w:rsid w:val="008542DE"/>
    <w:rsid w:val="00873A6E"/>
    <w:rsid w:val="00877C8F"/>
    <w:rsid w:val="00891FA4"/>
    <w:rsid w:val="008A28C8"/>
    <w:rsid w:val="008D26AB"/>
    <w:rsid w:val="008E5670"/>
    <w:rsid w:val="008F6CD1"/>
    <w:rsid w:val="009C1F22"/>
    <w:rsid w:val="009F4443"/>
    <w:rsid w:val="00A42E82"/>
    <w:rsid w:val="00A43CDE"/>
    <w:rsid w:val="00A579BB"/>
    <w:rsid w:val="00A63D55"/>
    <w:rsid w:val="00A70B19"/>
    <w:rsid w:val="00A74F22"/>
    <w:rsid w:val="00A95D89"/>
    <w:rsid w:val="00AF2180"/>
    <w:rsid w:val="00B5479B"/>
    <w:rsid w:val="00B93EB5"/>
    <w:rsid w:val="00BD3F03"/>
    <w:rsid w:val="00C0704D"/>
    <w:rsid w:val="00C25722"/>
    <w:rsid w:val="00C618DB"/>
    <w:rsid w:val="00D11007"/>
    <w:rsid w:val="00D17EB1"/>
    <w:rsid w:val="00D2449B"/>
    <w:rsid w:val="00D54E67"/>
    <w:rsid w:val="00D5708A"/>
    <w:rsid w:val="00DB1FA4"/>
    <w:rsid w:val="00DD3288"/>
    <w:rsid w:val="00DD62F6"/>
    <w:rsid w:val="00E330EF"/>
    <w:rsid w:val="00E331F1"/>
    <w:rsid w:val="00E46243"/>
    <w:rsid w:val="00E66534"/>
    <w:rsid w:val="00E70027"/>
    <w:rsid w:val="00E72F6C"/>
    <w:rsid w:val="00EA09F9"/>
    <w:rsid w:val="00EA696D"/>
    <w:rsid w:val="00EC23C7"/>
    <w:rsid w:val="00EC29CB"/>
    <w:rsid w:val="00ED00B7"/>
    <w:rsid w:val="00EF44E6"/>
    <w:rsid w:val="00EF74FF"/>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45125">
      <w:bodyDiv w:val="1"/>
      <w:marLeft w:val="0"/>
      <w:marRight w:val="0"/>
      <w:marTop w:val="0"/>
      <w:marBottom w:val="0"/>
      <w:divBdr>
        <w:top w:val="none" w:sz="0" w:space="0" w:color="auto"/>
        <w:left w:val="none" w:sz="0" w:space="0" w:color="auto"/>
        <w:bottom w:val="none" w:sz="0" w:space="0" w:color="auto"/>
        <w:right w:val="none" w:sz="0" w:space="0" w:color="auto"/>
      </w:divBdr>
    </w:div>
    <w:div w:id="17722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2024-10-25T08:35:00Z</cp:lastPrinted>
  <dcterms:created xsi:type="dcterms:W3CDTF">2024-10-25T08:40:00Z</dcterms:created>
  <dcterms:modified xsi:type="dcterms:W3CDTF">2024-10-25T08:40:00Z</dcterms:modified>
</cp:coreProperties>
</file>