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75"/>
      </w:tblGrid>
      <w:tr w:rsidR="004A5EA9" w:rsidRPr="00D2449B" w14:paraId="230E00A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F7455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2F7241A6" w:rsidR="00B1590F" w:rsidRPr="00D2449B" w:rsidRDefault="00F043DA" w:rsidP="00D2449B">
            <w:pPr>
              <w:jc w:val="center"/>
              <w:rPr>
                <w:rFonts w:ascii="Calibri" w:hAnsi="Calibri"/>
                <w:b/>
                <w:szCs w:val="22"/>
              </w:rPr>
            </w:pPr>
            <w:r>
              <w:rPr>
                <w:rFonts w:ascii="Calibri" w:hAnsi="Calibri"/>
                <w:b/>
                <w:szCs w:val="22"/>
              </w:rPr>
              <w:t>LH</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2854B7CD" w:rsidR="00B1590F" w:rsidRPr="00D2449B" w:rsidRDefault="002B1321" w:rsidP="00D2449B">
            <w:pPr>
              <w:jc w:val="center"/>
              <w:rPr>
                <w:rFonts w:ascii="Calibri" w:hAnsi="Calibri"/>
                <w:b/>
                <w:szCs w:val="22"/>
              </w:rPr>
            </w:pPr>
            <w:r>
              <w:rPr>
                <w:rFonts w:ascii="Calibri" w:hAnsi="Calibri"/>
                <w:b/>
                <w:szCs w:val="22"/>
              </w:rPr>
              <w:t>0</w:t>
            </w:r>
            <w:r w:rsidR="00F043DA">
              <w:rPr>
                <w:rFonts w:ascii="Calibri" w:hAnsi="Calibri"/>
                <w:b/>
                <w:szCs w:val="22"/>
              </w:rPr>
              <w:t>5</w:t>
            </w:r>
            <w:r>
              <w:rPr>
                <w:rFonts w:ascii="Calibri" w:hAnsi="Calibri"/>
                <w:b/>
                <w:szCs w:val="22"/>
              </w:rPr>
              <w:t>.09.24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15EB8648" w:rsidR="00B1590F" w:rsidRPr="00D2449B" w:rsidRDefault="002274F7" w:rsidP="003C303E">
            <w:pPr>
              <w:jc w:val="center"/>
              <w:rPr>
                <w:rFonts w:ascii="Calibri" w:hAnsi="Calibri"/>
                <w:b/>
                <w:szCs w:val="22"/>
              </w:rPr>
            </w:pPr>
            <w:r>
              <w:rPr>
                <w:rFonts w:ascii="Calibri" w:hAnsi="Calibri"/>
                <w:b/>
                <w:szCs w:val="22"/>
              </w:rPr>
              <w:t>NH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61BA84E7" w:rsidR="00B1590F" w:rsidRPr="00D2449B" w:rsidRDefault="002274F7" w:rsidP="00BF534E">
            <w:pPr>
              <w:rPr>
                <w:rFonts w:ascii="Calibri" w:hAnsi="Calibri"/>
                <w:b/>
                <w:szCs w:val="22"/>
              </w:rPr>
            </w:pPr>
            <w:r>
              <w:rPr>
                <w:rFonts w:ascii="Calibri" w:hAnsi="Calibri"/>
                <w:b/>
                <w:szCs w:val="22"/>
              </w:rPr>
              <w:t>05/09/24</w:t>
            </w:r>
          </w:p>
        </w:tc>
      </w:tr>
      <w:tr w:rsidR="004A5EA9" w:rsidRPr="00D2449B" w14:paraId="2094A164" w14:textId="77777777" w:rsidTr="00F74557">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E88D0E1" w:rsidR="004A5EA9" w:rsidRPr="00250879" w:rsidRDefault="000C6262" w:rsidP="008542DE">
            <w:pPr>
              <w:rPr>
                <w:rFonts w:ascii="Calibri" w:hAnsi="Calibri"/>
                <w:color w:val="548DD4" w:themeColor="text2" w:themeTint="99"/>
                <w:szCs w:val="22"/>
              </w:rPr>
            </w:pPr>
            <w:r>
              <w:rPr>
                <w:rFonts w:ascii="Calibri" w:hAnsi="Calibri"/>
                <w:szCs w:val="22"/>
              </w:rPr>
              <w:t>3/</w:t>
            </w:r>
            <w:r w:rsidR="004A5EA9" w:rsidRPr="002C6277">
              <w:rPr>
                <w:rFonts w:ascii="Calibri" w:hAnsi="Calibri"/>
                <w:szCs w:val="22"/>
              </w:rPr>
              <w:t>20</w:t>
            </w:r>
            <w:r w:rsidR="007B684A">
              <w:rPr>
                <w:rFonts w:ascii="Calibri" w:hAnsi="Calibri"/>
                <w:szCs w:val="22"/>
              </w:rPr>
              <w:t>24/0</w:t>
            </w:r>
            <w:r w:rsidR="00F043DA">
              <w:rPr>
                <w:rFonts w:ascii="Calibri" w:hAnsi="Calibri"/>
                <w:szCs w:val="22"/>
              </w:rPr>
              <w:t>641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0726898D" w:rsidR="00CA7A7E" w:rsidRPr="00C0704D" w:rsidRDefault="00E0413A" w:rsidP="002C6277">
            <w:pPr>
              <w:rPr>
                <w:rFonts w:ascii="Calibri" w:hAnsi="Calibri"/>
                <w:szCs w:val="22"/>
              </w:rPr>
            </w:pPr>
            <w:r>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A207CC3" w:rsidR="00CA7A7E" w:rsidRPr="00CA7A7E" w:rsidRDefault="00CA7A7E" w:rsidP="002C6277">
            <w:pPr>
              <w:rPr>
                <w:rFonts w:ascii="Calibri" w:hAnsi="Calibri"/>
                <w:b/>
                <w:bCs/>
                <w:szCs w:val="22"/>
              </w:rPr>
            </w:pPr>
            <w:r w:rsidRPr="00CA7A7E">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CBD765A" w:rsidR="00CA7A7E" w:rsidRPr="00C0704D" w:rsidRDefault="00E0413A"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D86D2C8" w:rsidR="004A5EA9" w:rsidRPr="00250879" w:rsidRDefault="00F043DA" w:rsidP="00811771">
            <w:pPr>
              <w:rPr>
                <w:rFonts w:ascii="Calibri" w:hAnsi="Calibri"/>
                <w:color w:val="548DD4" w:themeColor="text2" w:themeTint="99"/>
                <w:szCs w:val="22"/>
              </w:rPr>
            </w:pPr>
            <w:r>
              <w:rPr>
                <w:rFonts w:ascii="Calibri" w:hAnsi="Calibri"/>
                <w:szCs w:val="22"/>
              </w:rPr>
              <w:t>Lyndsey Hayes</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74557">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4E4D7754" w:rsidR="004A5EA9" w:rsidRPr="00D2449B" w:rsidRDefault="00F043DA" w:rsidP="002A01CF">
            <w:pPr>
              <w:jc w:val="center"/>
              <w:rPr>
                <w:rFonts w:ascii="Calibri" w:hAnsi="Calibri"/>
                <w:b/>
                <w:szCs w:val="22"/>
              </w:rPr>
            </w:pPr>
            <w:r>
              <w:rPr>
                <w:rFonts w:ascii="Calibri" w:hAnsi="Calibri"/>
                <w:b/>
                <w:szCs w:val="22"/>
              </w:rPr>
              <w:t>REFUSAL</w:t>
            </w:r>
          </w:p>
        </w:tc>
      </w:tr>
      <w:tr w:rsidR="004A5EA9" w:rsidRPr="00D2449B" w14:paraId="7813B96A"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4BDAA66" w:rsidR="004A5EA9" w:rsidRPr="002C6277" w:rsidRDefault="00F043DA">
            <w:pPr>
              <w:rPr>
                <w:rFonts w:ascii="Calibri" w:hAnsi="Calibri"/>
                <w:szCs w:val="22"/>
              </w:rPr>
            </w:pPr>
            <w:r w:rsidRPr="00F043DA">
              <w:rPr>
                <w:rFonts w:ascii="Calibri" w:hAnsi="Calibri"/>
                <w:szCs w:val="22"/>
              </w:rPr>
              <w:t>Certificate of Lawfulness for existing garden room/home office and garden shed for use by the occupants of 1 Park Road</w:t>
            </w:r>
          </w:p>
        </w:tc>
      </w:tr>
      <w:tr w:rsidR="002A01CF" w:rsidRPr="00D2449B" w14:paraId="52988241"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C50EBE5" w:rsidR="002A01CF" w:rsidRPr="002C6277" w:rsidRDefault="00F043DA" w:rsidP="00A42E82">
            <w:pPr>
              <w:rPr>
                <w:rFonts w:ascii="Calibri" w:hAnsi="Calibri"/>
                <w:szCs w:val="22"/>
              </w:rPr>
            </w:pPr>
            <w:r>
              <w:rPr>
                <w:rFonts w:ascii="Calibri" w:hAnsi="Calibri"/>
                <w:szCs w:val="22"/>
              </w:rPr>
              <w:t>1 Park Road Gisburn BB7 4HT</w:t>
            </w:r>
            <w:r w:rsidR="002B1321">
              <w:rPr>
                <w:rFonts w:ascii="Calibri" w:hAnsi="Calibri"/>
                <w:szCs w:val="22"/>
              </w:rPr>
              <w:t>.</w:t>
            </w:r>
          </w:p>
        </w:tc>
      </w:tr>
      <w:tr w:rsidR="00A95D89" w:rsidRPr="00D2449B" w14:paraId="3FB99B2E"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76F71A4" w:rsidR="002A01CF" w:rsidRPr="00B20DAD" w:rsidRDefault="00B20DAD">
            <w:pPr>
              <w:rPr>
                <w:rFonts w:ascii="Calibri" w:hAnsi="Calibri"/>
                <w:bCs/>
                <w:szCs w:val="22"/>
              </w:rPr>
            </w:pPr>
            <w:r w:rsidRPr="00B20DAD">
              <w:rPr>
                <w:rFonts w:ascii="Calibri" w:hAnsi="Calibri"/>
                <w:bCs/>
                <w:szCs w:val="22"/>
              </w:rPr>
              <w:t>No representations received in respect of the application.</w:t>
            </w:r>
          </w:p>
        </w:tc>
      </w:tr>
      <w:tr w:rsidR="00C618DB" w:rsidRPr="00D2449B" w14:paraId="639E958B"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57C06727" w:rsidR="002A01CF" w:rsidRPr="00F043DA" w:rsidRDefault="00F043DA">
            <w:pPr>
              <w:rPr>
                <w:rFonts w:ascii="Calibri" w:hAnsi="Calibri"/>
                <w:bCs/>
                <w:szCs w:val="22"/>
              </w:rPr>
            </w:pPr>
            <w:r w:rsidRPr="00F043DA">
              <w:rPr>
                <w:rFonts w:ascii="Calibri" w:hAnsi="Calibri"/>
                <w:bCs/>
                <w:szCs w:val="22"/>
              </w:rPr>
              <w:t>N/A</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6878DA9" w:rsidR="002A01CF" w:rsidRPr="00D2449B" w:rsidRDefault="002A01CF">
            <w:pPr>
              <w:rPr>
                <w:rFonts w:ascii="Calibri" w:hAnsi="Calibri"/>
                <w:b/>
                <w:szCs w:val="22"/>
              </w:rPr>
            </w:pPr>
          </w:p>
        </w:tc>
      </w:tr>
      <w:tr w:rsidR="00C0704D" w:rsidRPr="00D2449B" w14:paraId="62663AA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5D8E5463" w:rsidR="00C0704D" w:rsidRPr="00C0704D" w:rsidRDefault="00C0704D" w:rsidP="00D74711">
            <w:pPr>
              <w:rPr>
                <w:rFonts w:ascii="Calibri" w:hAnsi="Calibri"/>
                <w:szCs w:val="22"/>
              </w:rPr>
            </w:pPr>
          </w:p>
        </w:tc>
      </w:tr>
      <w:tr w:rsidR="00C0704D" w:rsidRPr="00D2449B" w14:paraId="29EBDA1F"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7205640" w:rsidR="00073AEF" w:rsidRPr="002B1321" w:rsidRDefault="002B1321" w:rsidP="002B1321">
            <w:pPr>
              <w:rPr>
                <w:rFonts w:ascii="Calibri" w:hAnsi="Calibri"/>
                <w:szCs w:val="22"/>
              </w:rPr>
            </w:pPr>
            <w:r w:rsidRPr="002B1321">
              <w:rPr>
                <w:rFonts w:ascii="Calibri" w:hAnsi="Calibri"/>
                <w:szCs w:val="22"/>
              </w:rPr>
              <w:t>No representations received in respect of the proposal.</w:t>
            </w:r>
          </w:p>
        </w:tc>
      </w:tr>
      <w:tr w:rsidR="00C0704D" w:rsidRPr="00D2449B" w14:paraId="1CDFA4C3"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DFF0F70" w14:textId="77777777" w:rsidR="00E0413A" w:rsidRDefault="00E0413A" w:rsidP="00E0413A">
            <w:pPr>
              <w:jc w:val="both"/>
              <w:rPr>
                <w:rFonts w:ascii="Calibri" w:hAnsi="Calibri"/>
                <w:szCs w:val="22"/>
              </w:rPr>
            </w:pPr>
          </w:p>
          <w:p w14:paraId="2D296C62" w14:textId="77777777" w:rsidR="00F043DA" w:rsidRDefault="00F043DA" w:rsidP="00F043DA">
            <w:pPr>
              <w:pStyle w:val="PLANNING"/>
              <w:rPr>
                <w:rFonts w:ascii="Calibri" w:hAnsi="Calibri"/>
                <w:b/>
                <w:bCs/>
                <w:szCs w:val="22"/>
              </w:rPr>
            </w:pPr>
            <w:r w:rsidRPr="0043614D">
              <w:rPr>
                <w:rFonts w:ascii="Calibri" w:hAnsi="Calibri"/>
                <w:szCs w:val="22"/>
              </w:rPr>
              <w:t>Section 191</w:t>
            </w:r>
            <w:r>
              <w:rPr>
                <w:rFonts w:ascii="Calibri" w:hAnsi="Calibri"/>
                <w:b/>
                <w:bCs/>
                <w:szCs w:val="22"/>
              </w:rPr>
              <w:t xml:space="preserve"> </w:t>
            </w:r>
            <w:r w:rsidRPr="00323452">
              <w:rPr>
                <w:rFonts w:ascii="Calibri" w:hAnsi="Calibri"/>
                <w:szCs w:val="22"/>
              </w:rPr>
              <w:t>of the Town and Country Planning Act 1990.</w:t>
            </w:r>
          </w:p>
          <w:p w14:paraId="292FB841" w14:textId="77777777" w:rsidR="00F043DA" w:rsidRPr="00323452" w:rsidRDefault="00F043DA" w:rsidP="00F043DA">
            <w:pPr>
              <w:pStyle w:val="PLANNING"/>
              <w:rPr>
                <w:rFonts w:ascii="Calibri" w:hAnsi="Calibri"/>
                <w:szCs w:val="22"/>
              </w:rPr>
            </w:pPr>
            <w:r w:rsidRPr="00323452">
              <w:rPr>
                <w:rFonts w:ascii="Calibri" w:hAnsi="Calibri"/>
                <w:szCs w:val="22"/>
              </w:rPr>
              <w:t>Section 56 of the Town and Country Planning Act 1990.</w:t>
            </w:r>
          </w:p>
          <w:p w14:paraId="26BC687C" w14:textId="77777777" w:rsidR="00F043DA" w:rsidRPr="00323452" w:rsidRDefault="00F043DA" w:rsidP="00F043DA">
            <w:pPr>
              <w:pStyle w:val="PLANNING"/>
              <w:rPr>
                <w:rFonts w:ascii="Calibri" w:hAnsi="Calibri"/>
                <w:szCs w:val="22"/>
              </w:rPr>
            </w:pPr>
            <w:r w:rsidRPr="00323452">
              <w:rPr>
                <w:rFonts w:ascii="Calibri" w:hAnsi="Calibri"/>
                <w:szCs w:val="22"/>
              </w:rPr>
              <w:t>National Planning Practice Guidance: Lawful development certificates</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6AF1CE7C" w14:textId="6CE0966D" w:rsidR="00F043DA" w:rsidRDefault="00F043DA" w:rsidP="008F4A57">
            <w:pPr>
              <w:rPr>
                <w:rFonts w:asciiTheme="minorHAnsi" w:hAnsiTheme="minorHAnsi" w:cstheme="minorHAnsi"/>
                <w:szCs w:val="22"/>
                <w:shd w:val="clear" w:color="auto" w:fill="FFFFFF"/>
              </w:rPr>
            </w:pPr>
            <w:r>
              <w:rPr>
                <w:rFonts w:asciiTheme="minorHAnsi" w:hAnsiTheme="minorHAnsi" w:cstheme="minorHAnsi"/>
                <w:szCs w:val="22"/>
                <w:shd w:val="clear" w:color="auto" w:fill="FFFFFF"/>
              </w:rPr>
              <w:t xml:space="preserve">Enforcement Notice served </w:t>
            </w:r>
            <w:r w:rsidR="008F4A57">
              <w:rPr>
                <w:rFonts w:asciiTheme="minorHAnsi" w:hAnsiTheme="minorHAnsi" w:cstheme="minorHAnsi"/>
                <w:szCs w:val="22"/>
                <w:shd w:val="clear" w:color="auto" w:fill="FFFFFF"/>
              </w:rPr>
              <w:t>30/08/2023 in respect of w</w:t>
            </w:r>
            <w:r w:rsidR="008F4A57" w:rsidRPr="008F4A57">
              <w:rPr>
                <w:rFonts w:asciiTheme="minorHAnsi" w:hAnsiTheme="minorHAnsi" w:cstheme="minorHAnsi"/>
                <w:szCs w:val="22"/>
                <w:shd w:val="clear" w:color="auto" w:fill="FFFFFF"/>
              </w:rPr>
              <w:t>ithout planning permission the unauthorised erection of a garden room/home office and garden shed within the last four years.</w:t>
            </w:r>
            <w:r w:rsidR="008F4A57">
              <w:rPr>
                <w:rFonts w:asciiTheme="minorHAnsi" w:hAnsiTheme="minorHAnsi" w:cstheme="minorHAnsi"/>
                <w:szCs w:val="22"/>
                <w:shd w:val="clear" w:color="auto" w:fill="FFFFFF"/>
              </w:rPr>
              <w:t xml:space="preserve"> Appeal Pending.</w:t>
            </w:r>
          </w:p>
          <w:p w14:paraId="67017303" w14:textId="77777777" w:rsidR="00F043DA" w:rsidRDefault="00F043DA" w:rsidP="00030773">
            <w:pPr>
              <w:rPr>
                <w:rFonts w:asciiTheme="minorHAnsi" w:hAnsiTheme="minorHAnsi" w:cstheme="minorHAnsi"/>
                <w:szCs w:val="22"/>
                <w:shd w:val="clear" w:color="auto" w:fill="FFFFFF"/>
              </w:rPr>
            </w:pPr>
          </w:p>
          <w:p w14:paraId="79B0AF7F" w14:textId="6726253C" w:rsidR="00F043DA" w:rsidRDefault="00F043DA" w:rsidP="00030773">
            <w:pPr>
              <w:rPr>
                <w:rFonts w:asciiTheme="minorHAnsi" w:hAnsiTheme="minorHAnsi" w:cstheme="minorHAnsi"/>
                <w:szCs w:val="22"/>
                <w:shd w:val="clear" w:color="auto" w:fill="FFFFFF"/>
              </w:rPr>
            </w:pPr>
            <w:r>
              <w:rPr>
                <w:rFonts w:asciiTheme="minorHAnsi" w:hAnsiTheme="minorHAnsi" w:cstheme="minorHAnsi"/>
                <w:szCs w:val="22"/>
                <w:shd w:val="clear" w:color="auto" w:fill="FFFFFF"/>
              </w:rPr>
              <w:t xml:space="preserve">3/2022/0440 - </w:t>
            </w:r>
            <w:r w:rsidRPr="00F043DA">
              <w:rPr>
                <w:rFonts w:asciiTheme="minorHAnsi" w:hAnsiTheme="minorHAnsi" w:cstheme="minorHAnsi"/>
                <w:szCs w:val="22"/>
                <w:shd w:val="clear" w:color="auto" w:fill="FFFFFF"/>
              </w:rPr>
              <w:t>Retention of garden room/home office and garden shed. Resubmission of 3/2021/0462</w:t>
            </w:r>
            <w:r>
              <w:rPr>
                <w:rFonts w:asciiTheme="minorHAnsi" w:hAnsiTheme="minorHAnsi" w:cstheme="minorHAnsi"/>
                <w:szCs w:val="22"/>
                <w:shd w:val="clear" w:color="auto" w:fill="FFFFFF"/>
              </w:rPr>
              <w:t xml:space="preserve"> – Refused. Appeal Dismissed.</w:t>
            </w:r>
          </w:p>
          <w:p w14:paraId="2790E08C" w14:textId="77777777" w:rsidR="00F043DA" w:rsidRDefault="00F043DA" w:rsidP="00030773">
            <w:pPr>
              <w:rPr>
                <w:rFonts w:asciiTheme="minorHAnsi" w:hAnsiTheme="minorHAnsi" w:cstheme="minorHAnsi"/>
                <w:szCs w:val="22"/>
                <w:shd w:val="clear" w:color="auto" w:fill="FFFFFF"/>
              </w:rPr>
            </w:pPr>
          </w:p>
          <w:p w14:paraId="42FCBE5E" w14:textId="39B4A430" w:rsidR="00F043DA" w:rsidRDefault="00F043DA" w:rsidP="00030773">
            <w:pPr>
              <w:rPr>
                <w:rFonts w:asciiTheme="minorHAnsi" w:hAnsiTheme="minorHAnsi" w:cstheme="minorHAnsi"/>
                <w:szCs w:val="22"/>
                <w:shd w:val="clear" w:color="auto" w:fill="FFFFFF"/>
              </w:rPr>
            </w:pPr>
            <w:r>
              <w:rPr>
                <w:rFonts w:asciiTheme="minorHAnsi" w:hAnsiTheme="minorHAnsi" w:cstheme="minorHAnsi"/>
                <w:szCs w:val="22"/>
                <w:shd w:val="clear" w:color="auto" w:fill="FFFFFF"/>
              </w:rPr>
              <w:t xml:space="preserve">3/2021/0462 - </w:t>
            </w:r>
            <w:r w:rsidRPr="00F043DA">
              <w:rPr>
                <w:rFonts w:asciiTheme="minorHAnsi" w:hAnsiTheme="minorHAnsi" w:cstheme="minorHAnsi"/>
                <w:szCs w:val="22"/>
                <w:shd w:val="clear" w:color="auto" w:fill="FFFFFF"/>
              </w:rPr>
              <w:t>Retention of rear boundary fence, garden shed and garden room/office</w:t>
            </w:r>
            <w:r>
              <w:rPr>
                <w:rFonts w:asciiTheme="minorHAnsi" w:hAnsiTheme="minorHAnsi" w:cstheme="minorHAnsi"/>
                <w:szCs w:val="22"/>
                <w:shd w:val="clear" w:color="auto" w:fill="FFFFFF"/>
              </w:rPr>
              <w:t xml:space="preserve">. Refused. Appeal Dismissed in respect of </w:t>
            </w:r>
            <w:r w:rsidRPr="00F043DA">
              <w:rPr>
                <w:rFonts w:asciiTheme="minorHAnsi" w:hAnsiTheme="minorHAnsi" w:cstheme="minorHAnsi"/>
                <w:szCs w:val="22"/>
                <w:shd w:val="clear" w:color="auto" w:fill="FFFFFF"/>
              </w:rPr>
              <w:t>garden shed and garden room/office</w:t>
            </w:r>
            <w:r>
              <w:rPr>
                <w:rFonts w:asciiTheme="minorHAnsi" w:hAnsiTheme="minorHAnsi" w:cstheme="minorHAnsi"/>
                <w:szCs w:val="22"/>
                <w:shd w:val="clear" w:color="auto" w:fill="FFFFFF"/>
              </w:rPr>
              <w:t>.</w:t>
            </w:r>
          </w:p>
          <w:p w14:paraId="17147D50" w14:textId="1254A668" w:rsidR="006449DD" w:rsidRPr="002F1E8B" w:rsidRDefault="006449DD" w:rsidP="00F043DA">
            <w:pPr>
              <w:rPr>
                <w:rFonts w:asciiTheme="minorHAnsi" w:hAnsiTheme="minorHAnsi" w:cstheme="minorHAnsi"/>
                <w:b/>
                <w:bCs/>
                <w:color w:val="333333"/>
                <w:szCs w:val="22"/>
                <w:shd w:val="clear" w:color="auto" w:fill="FFFFFF"/>
              </w:rPr>
            </w:pPr>
          </w:p>
        </w:tc>
      </w:tr>
      <w:tr w:rsidR="00C0704D" w:rsidRPr="00D2449B" w14:paraId="6AAC3B0A"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C6BFAC1" w14:textId="7E546083" w:rsidR="000A0F8D" w:rsidRPr="00352A5D" w:rsidRDefault="008F4A57" w:rsidP="00D12415">
            <w:pPr>
              <w:pStyle w:val="Header"/>
              <w:tabs>
                <w:tab w:val="clear" w:pos="4153"/>
                <w:tab w:val="clear" w:pos="8306"/>
              </w:tabs>
              <w:contextualSpacing/>
              <w:jc w:val="both"/>
              <w:rPr>
                <w:rFonts w:ascii="Calibri" w:hAnsi="Calibri"/>
                <w:bCs/>
                <w:szCs w:val="22"/>
              </w:rPr>
            </w:pPr>
            <w:r>
              <w:rPr>
                <w:rFonts w:ascii="Calibri" w:hAnsi="Calibri"/>
                <w:bCs/>
                <w:szCs w:val="22"/>
              </w:rPr>
              <w:t>Early 19</w:t>
            </w:r>
            <w:r w:rsidRPr="008F4A57">
              <w:rPr>
                <w:rFonts w:ascii="Calibri" w:hAnsi="Calibri"/>
                <w:bCs/>
                <w:szCs w:val="22"/>
                <w:vertAlign w:val="superscript"/>
              </w:rPr>
              <w:t>th</w:t>
            </w:r>
            <w:r>
              <w:rPr>
                <w:rFonts w:ascii="Calibri" w:hAnsi="Calibri"/>
                <w:bCs/>
                <w:szCs w:val="22"/>
              </w:rPr>
              <w:t xml:space="preserve"> century stone built Grade II Listed Building close to the entrance to Gisburn Park which is a historic park and garden</w:t>
            </w:r>
            <w:r w:rsidR="00352A5D" w:rsidRPr="00352A5D">
              <w:rPr>
                <w:rFonts w:ascii="Calibri" w:hAnsi="Calibri"/>
                <w:bCs/>
                <w:szCs w:val="22"/>
              </w:rPr>
              <w:t xml:space="preserve">. </w:t>
            </w:r>
            <w:r>
              <w:rPr>
                <w:rFonts w:ascii="Calibri" w:hAnsi="Calibri"/>
                <w:bCs/>
                <w:szCs w:val="22"/>
              </w:rPr>
              <w:t>Within the Gisburn Conservation Area.</w:t>
            </w:r>
          </w:p>
          <w:p w14:paraId="62370E9F" w14:textId="07E3713A" w:rsidR="006D6FEE" w:rsidRPr="006C2BFA" w:rsidRDefault="006D6FEE" w:rsidP="00D12415">
            <w:pPr>
              <w:pStyle w:val="Header"/>
              <w:tabs>
                <w:tab w:val="clear" w:pos="4153"/>
                <w:tab w:val="clear" w:pos="8306"/>
              </w:tabs>
              <w:contextualSpacing/>
              <w:jc w:val="both"/>
              <w:rPr>
                <w:rFonts w:ascii="Calibri" w:hAnsi="Calibri"/>
                <w:bCs/>
                <w:szCs w:val="22"/>
              </w:rPr>
            </w:pPr>
          </w:p>
        </w:tc>
      </w:tr>
      <w:tr w:rsidR="00C0704D" w:rsidRPr="00D2449B" w14:paraId="408C6380"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C20474A" w14:textId="09675928" w:rsidR="008F4A57" w:rsidRPr="008F4A57" w:rsidRDefault="008F4A57" w:rsidP="008F4A57">
            <w:pPr>
              <w:jc w:val="both"/>
              <w:rPr>
                <w:rFonts w:ascii="Calibri" w:hAnsi="Calibri"/>
                <w:szCs w:val="22"/>
              </w:rPr>
            </w:pPr>
            <w:r w:rsidRPr="008F4A57">
              <w:rPr>
                <w:rFonts w:ascii="Calibri" w:hAnsi="Calibri"/>
                <w:szCs w:val="22"/>
              </w:rPr>
              <w:t xml:space="preserve">The application seeks to establish the lawfulness of </w:t>
            </w:r>
            <w:r>
              <w:rPr>
                <w:rFonts w:ascii="Calibri" w:hAnsi="Calibri"/>
                <w:szCs w:val="22"/>
              </w:rPr>
              <w:t>an existing garden room/home office and garden shed sited within the rear garden of 1 Park Road for use by the occupants of 1 Park Road</w:t>
            </w:r>
            <w:r w:rsidRPr="008F4A57">
              <w:rPr>
                <w:rFonts w:ascii="Calibri" w:hAnsi="Calibri"/>
                <w:szCs w:val="22"/>
              </w:rPr>
              <w:t>.</w:t>
            </w:r>
          </w:p>
          <w:p w14:paraId="4D5B9270" w14:textId="77777777" w:rsidR="008F4A57" w:rsidRPr="008F4A57" w:rsidRDefault="008F4A57" w:rsidP="008F4A57">
            <w:pPr>
              <w:jc w:val="both"/>
              <w:rPr>
                <w:rFonts w:ascii="Calibri" w:hAnsi="Calibri"/>
                <w:szCs w:val="22"/>
              </w:rPr>
            </w:pPr>
          </w:p>
          <w:p w14:paraId="4E3FFC56" w14:textId="77777777" w:rsidR="00776A3A" w:rsidRDefault="008F4A57" w:rsidP="008F4A57">
            <w:pPr>
              <w:rPr>
                <w:rFonts w:ascii="Calibri" w:hAnsi="Calibri"/>
                <w:szCs w:val="22"/>
              </w:rPr>
            </w:pPr>
            <w:r w:rsidRPr="008F4A57">
              <w:rPr>
                <w:rFonts w:ascii="Calibri" w:hAnsi="Calibri"/>
                <w:szCs w:val="22"/>
              </w:rPr>
              <w:t xml:space="preserve">Section 191 of the TCPA gives provisions to a person to establish whether an existing use of buildings or land, any operational development or any activity in breach of a planning condition is lawful. </w:t>
            </w:r>
          </w:p>
          <w:p w14:paraId="778C931E" w14:textId="77777777" w:rsidR="00776A3A" w:rsidRDefault="00776A3A" w:rsidP="008F4A57">
            <w:pPr>
              <w:rPr>
                <w:rFonts w:ascii="Calibri" w:hAnsi="Calibri"/>
                <w:szCs w:val="22"/>
              </w:rPr>
            </w:pPr>
          </w:p>
          <w:p w14:paraId="4FDACE7D" w14:textId="4E30FE73" w:rsidR="00CD5C9C" w:rsidRDefault="008F4A57" w:rsidP="008F4A57">
            <w:pPr>
              <w:rPr>
                <w:rFonts w:ascii="Calibri" w:hAnsi="Calibri"/>
                <w:szCs w:val="22"/>
              </w:rPr>
            </w:pPr>
            <w:r w:rsidRPr="008F4A57">
              <w:rPr>
                <w:rFonts w:ascii="Calibri" w:hAnsi="Calibri"/>
                <w:szCs w:val="22"/>
              </w:rPr>
              <w:t>For the purposes of this Act uses and operations are lawful at any time if no enforcement action may then be taken in respect of them because they did not involve development</w:t>
            </w:r>
            <w:r w:rsidR="00776A3A">
              <w:rPr>
                <w:rFonts w:ascii="Calibri" w:hAnsi="Calibri"/>
                <w:szCs w:val="22"/>
              </w:rPr>
              <w:t xml:space="preserve"> </w:t>
            </w:r>
            <w:r w:rsidR="00F34BFD">
              <w:rPr>
                <w:rFonts w:ascii="Calibri" w:hAnsi="Calibri"/>
                <w:szCs w:val="22"/>
              </w:rPr>
              <w:t>or require planning permission or</w:t>
            </w:r>
            <w:r w:rsidR="00776A3A">
              <w:rPr>
                <w:rFonts w:ascii="Calibri" w:hAnsi="Calibri"/>
                <w:szCs w:val="22"/>
              </w:rPr>
              <w:t xml:space="preserve"> </w:t>
            </w:r>
            <w:r w:rsidRPr="008F4A57">
              <w:rPr>
                <w:rFonts w:ascii="Calibri" w:hAnsi="Calibri"/>
                <w:szCs w:val="22"/>
              </w:rPr>
              <w:t>because the time for enforcement action has expired or for any other reason.</w:t>
            </w:r>
          </w:p>
          <w:p w14:paraId="37898ECF" w14:textId="77777777" w:rsidR="00776A3A" w:rsidRDefault="00776A3A" w:rsidP="008F4A57">
            <w:pPr>
              <w:rPr>
                <w:rFonts w:ascii="Calibri" w:hAnsi="Calibri"/>
                <w:szCs w:val="22"/>
              </w:rPr>
            </w:pPr>
          </w:p>
          <w:p w14:paraId="1833CF34" w14:textId="47381086" w:rsidR="00776A3A" w:rsidRDefault="00776A3A" w:rsidP="008F4A57">
            <w:pPr>
              <w:rPr>
                <w:rFonts w:ascii="Calibri" w:hAnsi="Calibri"/>
                <w:szCs w:val="22"/>
              </w:rPr>
            </w:pPr>
            <w:r>
              <w:rPr>
                <w:rFonts w:ascii="Calibri" w:hAnsi="Calibri"/>
                <w:szCs w:val="22"/>
              </w:rPr>
              <w:t>In support of the application the following has been submitted:-</w:t>
            </w:r>
          </w:p>
          <w:p w14:paraId="1AE34799" w14:textId="77777777" w:rsidR="00776A3A" w:rsidRDefault="00776A3A" w:rsidP="008F4A57">
            <w:pPr>
              <w:rPr>
                <w:rFonts w:ascii="Calibri" w:hAnsi="Calibri"/>
                <w:szCs w:val="22"/>
              </w:rPr>
            </w:pPr>
          </w:p>
          <w:p w14:paraId="260B7BDA" w14:textId="6B2F6905" w:rsidR="00776A3A" w:rsidRDefault="00776A3A" w:rsidP="008F4A57">
            <w:pPr>
              <w:rPr>
                <w:rFonts w:ascii="Calibri" w:hAnsi="Calibri"/>
                <w:szCs w:val="22"/>
              </w:rPr>
            </w:pPr>
            <w:r>
              <w:rPr>
                <w:rFonts w:ascii="Calibri" w:hAnsi="Calibri"/>
                <w:szCs w:val="22"/>
              </w:rPr>
              <w:t>Location Plan</w:t>
            </w:r>
          </w:p>
          <w:p w14:paraId="755CBB5D" w14:textId="3E07D6F7" w:rsidR="00776A3A" w:rsidRDefault="00776A3A" w:rsidP="008F4A57">
            <w:pPr>
              <w:rPr>
                <w:rFonts w:ascii="Calibri" w:hAnsi="Calibri"/>
                <w:szCs w:val="22"/>
              </w:rPr>
            </w:pPr>
            <w:r>
              <w:rPr>
                <w:rFonts w:ascii="Calibri" w:hAnsi="Calibri"/>
                <w:szCs w:val="22"/>
              </w:rPr>
              <w:t>Plan and Elevations</w:t>
            </w:r>
          </w:p>
          <w:p w14:paraId="09E28556" w14:textId="1AF92C20" w:rsidR="00776A3A" w:rsidRDefault="00776A3A" w:rsidP="008F4A57">
            <w:pPr>
              <w:rPr>
                <w:rFonts w:ascii="Calibri" w:hAnsi="Calibri"/>
                <w:szCs w:val="22"/>
              </w:rPr>
            </w:pPr>
            <w:r>
              <w:rPr>
                <w:rFonts w:ascii="Calibri" w:hAnsi="Calibri"/>
                <w:szCs w:val="22"/>
              </w:rPr>
              <w:t>Photograph of the two buildings in question with a suggested date time of 21.3.2020</w:t>
            </w:r>
          </w:p>
          <w:p w14:paraId="4BD9A6AF" w14:textId="1D6D0DBD" w:rsidR="00776A3A" w:rsidRDefault="00776A3A" w:rsidP="008F4A57">
            <w:pPr>
              <w:rPr>
                <w:rFonts w:ascii="Calibri" w:hAnsi="Calibri"/>
                <w:szCs w:val="22"/>
              </w:rPr>
            </w:pPr>
            <w:r>
              <w:rPr>
                <w:rFonts w:ascii="Calibri" w:hAnsi="Calibri"/>
                <w:szCs w:val="22"/>
              </w:rPr>
              <w:t>Copy of Email sent from a Principal Planning Officer at RVBC to the applicant on 20.3.2020 titled ‘summerhouse, shed and fence at 1 Park Road’</w:t>
            </w:r>
          </w:p>
          <w:p w14:paraId="646261DA" w14:textId="5C9BB5E8" w:rsidR="00776A3A" w:rsidRDefault="00776A3A" w:rsidP="008F4A57">
            <w:pPr>
              <w:rPr>
                <w:rFonts w:ascii="Calibri" w:hAnsi="Calibri"/>
                <w:szCs w:val="22"/>
              </w:rPr>
            </w:pPr>
            <w:r>
              <w:rPr>
                <w:rFonts w:ascii="Calibri" w:hAnsi="Calibri"/>
                <w:szCs w:val="22"/>
              </w:rPr>
              <w:t>Additional Photographs of the two buildings in question with a suggested date time of 19.3.2020</w:t>
            </w:r>
          </w:p>
          <w:p w14:paraId="1B20488F" w14:textId="4D0DA123" w:rsidR="008F4A57" w:rsidRPr="00D54E67" w:rsidRDefault="008F4A57" w:rsidP="008F4A57">
            <w:pPr>
              <w:rPr>
                <w:rFonts w:ascii="Calibri" w:hAnsi="Calibri"/>
                <w:szCs w:val="22"/>
              </w:rPr>
            </w:pPr>
          </w:p>
        </w:tc>
      </w:tr>
      <w:tr w:rsidR="00C0704D" w:rsidRPr="00D2449B" w14:paraId="7B96C947"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0A91CBF6" w:rsidR="00C0704D" w:rsidRDefault="00994CF9"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Assessment of Proposed Development:</w:t>
            </w:r>
          </w:p>
          <w:p w14:paraId="7C5F9ADE" w14:textId="77777777" w:rsidR="00C0704D" w:rsidRDefault="00C0704D" w:rsidP="00EA09F9">
            <w:pPr>
              <w:pStyle w:val="Header"/>
              <w:tabs>
                <w:tab w:val="clear" w:pos="4153"/>
                <w:tab w:val="clear" w:pos="8306"/>
              </w:tabs>
              <w:contextualSpacing/>
              <w:jc w:val="both"/>
              <w:rPr>
                <w:rFonts w:ascii="Calibri" w:hAnsi="Calibri"/>
                <w:b/>
                <w:szCs w:val="22"/>
              </w:rPr>
            </w:pPr>
          </w:p>
          <w:p w14:paraId="6E212EF7" w14:textId="6BCD4611" w:rsidR="002B1321" w:rsidRDefault="00B46E86" w:rsidP="00E0413A">
            <w:pPr>
              <w:contextualSpacing/>
              <w:jc w:val="both"/>
              <w:rPr>
                <w:rFonts w:ascii="Calibri" w:hAnsi="Calibri"/>
                <w:szCs w:val="22"/>
              </w:rPr>
            </w:pPr>
            <w:r>
              <w:rPr>
                <w:rFonts w:ascii="Calibri" w:hAnsi="Calibri"/>
                <w:szCs w:val="22"/>
              </w:rPr>
              <w:t xml:space="preserve">Both the garden room/home office and garden shed are buildings which fall to be considered as </w:t>
            </w:r>
            <w:r w:rsidR="00776A3A">
              <w:rPr>
                <w:rFonts w:ascii="Calibri" w:hAnsi="Calibri"/>
                <w:szCs w:val="22"/>
              </w:rPr>
              <w:t xml:space="preserve">development having regard to </w:t>
            </w:r>
            <w:r w:rsidR="00352A5D" w:rsidRPr="00352A5D">
              <w:rPr>
                <w:rFonts w:ascii="Calibri" w:hAnsi="Calibri"/>
                <w:szCs w:val="22"/>
              </w:rPr>
              <w:t xml:space="preserve">Section 55 of the Town and Country Planning Act 1990 </w:t>
            </w:r>
            <w:r w:rsidR="00776A3A">
              <w:rPr>
                <w:rFonts w:ascii="Calibri" w:hAnsi="Calibri"/>
                <w:szCs w:val="22"/>
              </w:rPr>
              <w:t>which</w:t>
            </w:r>
            <w:r w:rsidR="00352A5D" w:rsidRPr="00352A5D">
              <w:rPr>
                <w:rFonts w:ascii="Calibri" w:hAnsi="Calibri"/>
                <w:szCs w:val="22"/>
              </w:rPr>
              <w:t xml:space="preserve"> defines ‘</w:t>
            </w:r>
            <w:r w:rsidR="00776A3A">
              <w:rPr>
                <w:rFonts w:ascii="Calibri" w:hAnsi="Calibri"/>
                <w:szCs w:val="22"/>
              </w:rPr>
              <w:t xml:space="preserve">development’ </w:t>
            </w:r>
            <w:r w:rsidR="002B1321">
              <w:rPr>
                <w:rFonts w:ascii="Calibri" w:hAnsi="Calibri"/>
                <w:szCs w:val="22"/>
              </w:rPr>
              <w:t>as follows:</w:t>
            </w:r>
          </w:p>
          <w:p w14:paraId="31BCB867" w14:textId="77777777" w:rsidR="002B1321" w:rsidRPr="005B5F4B" w:rsidRDefault="002B1321" w:rsidP="00E0413A">
            <w:pPr>
              <w:contextualSpacing/>
              <w:jc w:val="both"/>
              <w:rPr>
                <w:rFonts w:ascii="Calibri" w:hAnsi="Calibri"/>
                <w:szCs w:val="22"/>
              </w:rPr>
            </w:pPr>
          </w:p>
          <w:p w14:paraId="3775FA38" w14:textId="4E923BA5" w:rsidR="009B3334" w:rsidRDefault="009B3334" w:rsidP="002B1321">
            <w:pPr>
              <w:pStyle w:val="Header"/>
              <w:jc w:val="both"/>
              <w:rPr>
                <w:rFonts w:ascii="Calibri" w:hAnsi="Calibri"/>
                <w:bCs/>
                <w:i/>
                <w:iCs/>
                <w:szCs w:val="22"/>
              </w:rPr>
            </w:pPr>
            <w:r>
              <w:rPr>
                <w:rFonts w:ascii="Calibri" w:hAnsi="Calibri"/>
                <w:bCs/>
                <w:i/>
                <w:iCs/>
                <w:szCs w:val="22"/>
              </w:rPr>
              <w:t xml:space="preserve">Section </w:t>
            </w:r>
            <w:r w:rsidR="002B1321" w:rsidRPr="009B3334">
              <w:rPr>
                <w:rFonts w:ascii="Calibri" w:hAnsi="Calibri"/>
                <w:bCs/>
                <w:i/>
                <w:iCs/>
                <w:szCs w:val="22"/>
              </w:rPr>
              <w:t>55</w:t>
            </w:r>
            <w:r>
              <w:rPr>
                <w:rFonts w:ascii="Calibri" w:hAnsi="Calibri"/>
                <w:bCs/>
                <w:i/>
                <w:iCs/>
                <w:szCs w:val="22"/>
              </w:rPr>
              <w:t>:</w:t>
            </w:r>
          </w:p>
          <w:p w14:paraId="6B97491F" w14:textId="10DD5EB9" w:rsidR="00D2450F" w:rsidRDefault="002B1321" w:rsidP="009B3334">
            <w:pPr>
              <w:pStyle w:val="Header"/>
              <w:numPr>
                <w:ilvl w:val="0"/>
                <w:numId w:val="6"/>
              </w:numPr>
              <w:jc w:val="both"/>
              <w:rPr>
                <w:rFonts w:ascii="Calibri" w:hAnsi="Calibri"/>
                <w:bCs/>
                <w:i/>
                <w:iCs/>
                <w:szCs w:val="22"/>
              </w:rPr>
            </w:pPr>
            <w:r w:rsidRPr="009B3334">
              <w:rPr>
                <w:rFonts w:ascii="Calibri" w:hAnsi="Calibri"/>
                <w:bCs/>
                <w:i/>
                <w:iCs/>
                <w:szCs w:val="22"/>
              </w:rPr>
              <w:t>Subject to the following provisions of this section, in this Act, except where the context otherwise requires, “development,” means the carrying out of building, engineering, mining or other operations in, on, over or under land, or the making of any material change in the use of any buildings or other land.</w:t>
            </w:r>
          </w:p>
          <w:p w14:paraId="6569E9EE" w14:textId="77777777" w:rsidR="00776A3A" w:rsidRDefault="00776A3A" w:rsidP="00776A3A">
            <w:pPr>
              <w:pStyle w:val="Header"/>
              <w:jc w:val="both"/>
              <w:rPr>
                <w:rFonts w:ascii="Calibri" w:hAnsi="Calibri"/>
                <w:bCs/>
                <w:i/>
                <w:iCs/>
                <w:szCs w:val="22"/>
              </w:rPr>
            </w:pPr>
          </w:p>
          <w:p w14:paraId="6E3C3C53" w14:textId="108870BA" w:rsidR="00776A3A" w:rsidRDefault="00B46E86" w:rsidP="00776A3A">
            <w:pPr>
              <w:pStyle w:val="Header"/>
              <w:jc w:val="both"/>
              <w:rPr>
                <w:rFonts w:ascii="Calibri" w:hAnsi="Calibri"/>
                <w:bCs/>
                <w:szCs w:val="22"/>
              </w:rPr>
            </w:pPr>
            <w:r>
              <w:rPr>
                <w:rFonts w:ascii="Calibri" w:hAnsi="Calibri"/>
                <w:bCs/>
                <w:szCs w:val="22"/>
              </w:rPr>
              <w:t>Whilst certain development types can be permitted development not requiring planning permission, in this case they are</w:t>
            </w:r>
            <w:r w:rsidR="00776A3A" w:rsidRPr="00B46E86">
              <w:rPr>
                <w:rFonts w:ascii="Calibri" w:hAnsi="Calibri"/>
                <w:bCs/>
                <w:szCs w:val="22"/>
              </w:rPr>
              <w:t xml:space="preserve"> not permitted development having regard to Schedule 2 Part 1 Class E</w:t>
            </w:r>
            <w:r w:rsidRPr="00B46E86">
              <w:rPr>
                <w:rFonts w:ascii="Calibri" w:hAnsi="Calibri"/>
                <w:bCs/>
                <w:szCs w:val="22"/>
              </w:rPr>
              <w:t xml:space="preserve"> (1)(g) </w:t>
            </w:r>
            <w:r>
              <w:rPr>
                <w:rFonts w:ascii="Calibri" w:hAnsi="Calibri"/>
                <w:bCs/>
                <w:szCs w:val="22"/>
              </w:rPr>
              <w:t xml:space="preserve">of the Town and Country Planning (General Permitted Development) Order, </w:t>
            </w:r>
            <w:r w:rsidRPr="00B46E86">
              <w:rPr>
                <w:rFonts w:ascii="Calibri" w:hAnsi="Calibri"/>
                <w:bCs/>
                <w:szCs w:val="22"/>
              </w:rPr>
              <w:t>being buildings situated within the curtilage of a Listed Building.</w:t>
            </w:r>
            <w:r>
              <w:rPr>
                <w:rFonts w:ascii="Calibri" w:hAnsi="Calibri"/>
                <w:bCs/>
                <w:szCs w:val="22"/>
              </w:rPr>
              <w:t xml:space="preserve"> Planning permission is therefore required and to date has not been secured.</w:t>
            </w:r>
          </w:p>
          <w:p w14:paraId="3A7EB905" w14:textId="77777777" w:rsidR="00B46E86" w:rsidRDefault="00B46E86" w:rsidP="00776A3A">
            <w:pPr>
              <w:pStyle w:val="Header"/>
              <w:jc w:val="both"/>
              <w:rPr>
                <w:rFonts w:ascii="Calibri" w:hAnsi="Calibri"/>
                <w:bCs/>
                <w:szCs w:val="22"/>
              </w:rPr>
            </w:pPr>
          </w:p>
          <w:p w14:paraId="77FA8807" w14:textId="606CA16E" w:rsidR="00B46E86" w:rsidRDefault="00B46E86" w:rsidP="00776A3A">
            <w:pPr>
              <w:pStyle w:val="Header"/>
              <w:jc w:val="both"/>
              <w:rPr>
                <w:rFonts w:ascii="Calibri" w:hAnsi="Calibri"/>
                <w:bCs/>
                <w:szCs w:val="22"/>
              </w:rPr>
            </w:pPr>
            <w:r>
              <w:rPr>
                <w:rFonts w:ascii="Calibri" w:hAnsi="Calibri"/>
                <w:bCs/>
                <w:szCs w:val="22"/>
              </w:rPr>
              <w:t xml:space="preserve">Having regard to Section </w:t>
            </w:r>
            <w:r w:rsidRPr="006260DA">
              <w:rPr>
                <w:rFonts w:ascii="Calibri" w:hAnsi="Calibri"/>
                <w:bCs/>
                <w:szCs w:val="22"/>
              </w:rPr>
              <w:t xml:space="preserve">191 </w:t>
            </w:r>
            <w:r>
              <w:rPr>
                <w:rFonts w:ascii="Calibri" w:hAnsi="Calibri"/>
                <w:bCs/>
                <w:szCs w:val="22"/>
              </w:rPr>
              <w:t>of the TCPA the only reason why this application could be successful is if the LPA determined that the Council was unable to take any enforcement action against it.</w:t>
            </w:r>
          </w:p>
          <w:p w14:paraId="587E9E4A" w14:textId="77777777" w:rsidR="00B46E86" w:rsidRDefault="00B46E86" w:rsidP="00776A3A">
            <w:pPr>
              <w:pStyle w:val="Header"/>
              <w:jc w:val="both"/>
              <w:rPr>
                <w:rFonts w:ascii="Calibri" w:hAnsi="Calibri"/>
                <w:bCs/>
                <w:szCs w:val="22"/>
              </w:rPr>
            </w:pPr>
          </w:p>
          <w:p w14:paraId="579673DF" w14:textId="6C54C011" w:rsidR="00B46E86" w:rsidRDefault="00B46E86" w:rsidP="00776A3A">
            <w:pPr>
              <w:pStyle w:val="Header"/>
              <w:jc w:val="both"/>
              <w:rPr>
                <w:rFonts w:ascii="Calibri" w:hAnsi="Calibri"/>
                <w:bCs/>
                <w:szCs w:val="22"/>
              </w:rPr>
            </w:pPr>
            <w:r>
              <w:rPr>
                <w:rFonts w:ascii="Calibri" w:hAnsi="Calibri"/>
                <w:bCs/>
                <w:szCs w:val="22"/>
              </w:rPr>
              <w:t>The applicant’s evidence suggests that the buildings were in place in March 2020</w:t>
            </w:r>
            <w:r w:rsidR="006260DA">
              <w:rPr>
                <w:rFonts w:ascii="Calibri" w:hAnsi="Calibri"/>
                <w:bCs/>
                <w:szCs w:val="22"/>
              </w:rPr>
              <w:t>, which is more than four years since this certificate of lawfulness application was received.</w:t>
            </w:r>
          </w:p>
          <w:p w14:paraId="1B41E01D" w14:textId="77777777" w:rsidR="006260DA" w:rsidRDefault="006260DA" w:rsidP="00776A3A">
            <w:pPr>
              <w:pStyle w:val="Header"/>
              <w:jc w:val="both"/>
              <w:rPr>
                <w:rFonts w:ascii="Calibri" w:hAnsi="Calibri"/>
                <w:bCs/>
                <w:szCs w:val="22"/>
              </w:rPr>
            </w:pPr>
          </w:p>
          <w:p w14:paraId="39CB306C" w14:textId="41C35159" w:rsidR="006260DA" w:rsidRDefault="00E0198D" w:rsidP="00776A3A">
            <w:pPr>
              <w:pStyle w:val="Header"/>
              <w:jc w:val="both"/>
              <w:rPr>
                <w:rFonts w:ascii="Calibri" w:hAnsi="Calibri"/>
                <w:bCs/>
                <w:szCs w:val="22"/>
              </w:rPr>
            </w:pPr>
            <w:r>
              <w:rPr>
                <w:rFonts w:ascii="Calibri" w:hAnsi="Calibri"/>
                <w:bCs/>
                <w:szCs w:val="22"/>
              </w:rPr>
              <w:t>I</w:t>
            </w:r>
            <w:r w:rsidR="006260DA">
              <w:rPr>
                <w:rFonts w:ascii="Calibri" w:hAnsi="Calibri"/>
                <w:bCs/>
                <w:szCs w:val="22"/>
              </w:rPr>
              <w:t>mportantly on 30</w:t>
            </w:r>
            <w:r w:rsidR="006260DA" w:rsidRPr="006260DA">
              <w:rPr>
                <w:rFonts w:ascii="Calibri" w:hAnsi="Calibri"/>
                <w:bCs/>
                <w:szCs w:val="22"/>
                <w:vertAlign w:val="superscript"/>
              </w:rPr>
              <w:t>th</w:t>
            </w:r>
            <w:r w:rsidR="006260DA">
              <w:rPr>
                <w:rFonts w:ascii="Calibri" w:hAnsi="Calibri"/>
                <w:bCs/>
                <w:szCs w:val="22"/>
              </w:rPr>
              <w:t xml:space="preserve"> August 2023 the council </w:t>
            </w:r>
            <w:r w:rsidR="006260DA" w:rsidRPr="00E0198D">
              <w:rPr>
                <w:rFonts w:ascii="Calibri" w:hAnsi="Calibri"/>
                <w:bCs/>
                <w:szCs w:val="22"/>
              </w:rPr>
              <w:t>served an enforcement notice on the development in question</w:t>
            </w:r>
            <w:r w:rsidR="00F34BFD" w:rsidRPr="00E0198D">
              <w:rPr>
                <w:rFonts w:ascii="Calibri" w:hAnsi="Calibri"/>
                <w:bCs/>
                <w:szCs w:val="22"/>
              </w:rPr>
              <w:t xml:space="preserve"> and at that time the </w:t>
            </w:r>
            <w:r w:rsidR="002274F7" w:rsidRPr="00E0198D">
              <w:rPr>
                <w:rFonts w:ascii="Calibri" w:hAnsi="Calibri"/>
                <w:bCs/>
                <w:szCs w:val="22"/>
              </w:rPr>
              <w:t>four-year</w:t>
            </w:r>
            <w:r w:rsidR="00F34BFD" w:rsidRPr="00E0198D">
              <w:rPr>
                <w:rFonts w:ascii="Calibri" w:hAnsi="Calibri"/>
                <w:bCs/>
                <w:szCs w:val="22"/>
              </w:rPr>
              <w:t xml:space="preserve"> period had not expired</w:t>
            </w:r>
            <w:r w:rsidR="006260DA" w:rsidRPr="00E0198D">
              <w:rPr>
                <w:rFonts w:ascii="Calibri" w:hAnsi="Calibri"/>
                <w:bCs/>
                <w:szCs w:val="22"/>
              </w:rPr>
              <w:t xml:space="preserve">. </w:t>
            </w:r>
            <w:r w:rsidR="002274F7" w:rsidRPr="00E0198D">
              <w:rPr>
                <w:rFonts w:ascii="Calibri" w:hAnsi="Calibri"/>
                <w:bCs/>
                <w:szCs w:val="22"/>
              </w:rPr>
              <w:t>Indeed,</w:t>
            </w:r>
            <w:r w:rsidR="00F34BFD" w:rsidRPr="00E0198D">
              <w:rPr>
                <w:rFonts w:ascii="Calibri" w:hAnsi="Calibri"/>
                <w:bCs/>
                <w:szCs w:val="22"/>
              </w:rPr>
              <w:t xml:space="preserve"> this is not one of the grounds on which the applicant has lodged his appeal under. </w:t>
            </w:r>
            <w:r w:rsidR="006260DA" w:rsidRPr="00E0198D">
              <w:rPr>
                <w:rFonts w:ascii="Calibri" w:hAnsi="Calibri"/>
                <w:bCs/>
                <w:szCs w:val="22"/>
              </w:rPr>
              <w:t xml:space="preserve">The applicant has appealed this EN and this is ongoing. Under the provisions of S175(4) of the TCPA 1990 Act </w:t>
            </w:r>
            <w:r w:rsidR="006260DA">
              <w:rPr>
                <w:rFonts w:ascii="Calibri" w:hAnsi="Calibri"/>
                <w:bCs/>
                <w:szCs w:val="22"/>
              </w:rPr>
              <w:t xml:space="preserve">where an enforcement notice is appealed, it is of no effect pending the outcome of the appeal. </w:t>
            </w:r>
            <w:r>
              <w:rPr>
                <w:rFonts w:ascii="Calibri" w:hAnsi="Calibri"/>
                <w:bCs/>
                <w:szCs w:val="22"/>
              </w:rPr>
              <w:t>That said</w:t>
            </w:r>
            <w:r w:rsidR="006260DA">
              <w:rPr>
                <w:rFonts w:ascii="Calibri" w:hAnsi="Calibri"/>
                <w:bCs/>
                <w:szCs w:val="22"/>
              </w:rPr>
              <w:t>, the provisions of section 171B(2)</w:t>
            </w:r>
            <w:r w:rsidR="00F34BFD">
              <w:rPr>
                <w:rFonts w:ascii="Calibri" w:hAnsi="Calibri"/>
                <w:bCs/>
                <w:szCs w:val="22"/>
              </w:rPr>
              <w:t xml:space="preserve"> and (4)</w:t>
            </w:r>
            <w:r w:rsidR="006260DA">
              <w:rPr>
                <w:rFonts w:ascii="Calibri" w:hAnsi="Calibri"/>
                <w:bCs/>
                <w:szCs w:val="22"/>
              </w:rPr>
              <w:t xml:space="preserve"> mean that the council is entitled to take further enforcement action</w:t>
            </w:r>
            <w:r w:rsidR="00F34BFD">
              <w:rPr>
                <w:rFonts w:ascii="Calibri" w:hAnsi="Calibri"/>
                <w:bCs/>
                <w:szCs w:val="22"/>
              </w:rPr>
              <w:t xml:space="preserve"> in respect of a breach of planning control if, during the period of four years ending with that action being taken, the LPA have taken or purported to take enforcement action in respect of that breach.</w:t>
            </w:r>
            <w:r w:rsidR="006260DA">
              <w:rPr>
                <w:rFonts w:ascii="Calibri" w:hAnsi="Calibri"/>
                <w:bCs/>
                <w:szCs w:val="22"/>
              </w:rPr>
              <w:t xml:space="preserve"> </w:t>
            </w:r>
          </w:p>
          <w:p w14:paraId="74F67613" w14:textId="77777777" w:rsidR="006260DA" w:rsidRDefault="006260DA" w:rsidP="00776A3A">
            <w:pPr>
              <w:pStyle w:val="Header"/>
              <w:jc w:val="both"/>
              <w:rPr>
                <w:rFonts w:ascii="Calibri" w:hAnsi="Calibri"/>
                <w:bCs/>
                <w:szCs w:val="22"/>
              </w:rPr>
            </w:pPr>
          </w:p>
          <w:p w14:paraId="53BF6D34" w14:textId="785DD64C" w:rsidR="006260DA" w:rsidRDefault="006260DA" w:rsidP="00776A3A">
            <w:pPr>
              <w:pStyle w:val="Header"/>
              <w:jc w:val="both"/>
              <w:rPr>
                <w:rFonts w:ascii="Calibri" w:hAnsi="Calibri"/>
                <w:bCs/>
                <w:szCs w:val="22"/>
              </w:rPr>
            </w:pPr>
            <w:r>
              <w:rPr>
                <w:rFonts w:ascii="Calibri" w:hAnsi="Calibri"/>
                <w:bCs/>
                <w:szCs w:val="22"/>
              </w:rPr>
              <w:lastRenderedPageBreak/>
              <w:t>Therefore having regard to the first limb of section 191(2)</w:t>
            </w:r>
            <w:r w:rsidR="00F34BFD">
              <w:rPr>
                <w:rFonts w:ascii="Calibri" w:hAnsi="Calibri"/>
                <w:bCs/>
                <w:szCs w:val="22"/>
              </w:rPr>
              <w:t xml:space="preserve">, at the time that the </w:t>
            </w:r>
            <w:r w:rsidR="00E0198D">
              <w:rPr>
                <w:rFonts w:ascii="Calibri" w:hAnsi="Calibri"/>
                <w:bCs/>
                <w:szCs w:val="22"/>
              </w:rPr>
              <w:t>certificate</w:t>
            </w:r>
            <w:r w:rsidR="00F34BFD">
              <w:rPr>
                <w:rFonts w:ascii="Calibri" w:hAnsi="Calibri"/>
                <w:bCs/>
                <w:szCs w:val="22"/>
              </w:rPr>
              <w:t xml:space="preserve"> of lawfulness application </w:t>
            </w:r>
            <w:r w:rsidR="00E0198D">
              <w:rPr>
                <w:rFonts w:ascii="Calibri" w:hAnsi="Calibri"/>
                <w:bCs/>
                <w:szCs w:val="22"/>
              </w:rPr>
              <w:t>was made, further enforcement action may still be taken by the council given that the four year period running from the date when the enforcement notice was issued had not expired.</w:t>
            </w:r>
          </w:p>
          <w:p w14:paraId="68533149" w14:textId="77777777" w:rsidR="006260DA" w:rsidRDefault="006260DA" w:rsidP="00776A3A">
            <w:pPr>
              <w:pStyle w:val="Header"/>
              <w:jc w:val="both"/>
              <w:rPr>
                <w:rFonts w:ascii="Calibri" w:hAnsi="Calibri"/>
                <w:bCs/>
                <w:szCs w:val="22"/>
              </w:rPr>
            </w:pPr>
          </w:p>
          <w:p w14:paraId="03B61AD9" w14:textId="3ABABF58" w:rsidR="00B46E86" w:rsidRPr="003448DD" w:rsidRDefault="006260DA" w:rsidP="00776A3A">
            <w:pPr>
              <w:pStyle w:val="Header"/>
              <w:jc w:val="both"/>
              <w:rPr>
                <w:rFonts w:ascii="Calibri" w:hAnsi="Calibri"/>
                <w:bCs/>
                <w:szCs w:val="22"/>
              </w:rPr>
            </w:pPr>
            <w:r>
              <w:rPr>
                <w:rFonts w:ascii="Calibri" w:hAnsi="Calibri"/>
                <w:bCs/>
                <w:szCs w:val="22"/>
              </w:rPr>
              <w:t xml:space="preserve">This </w:t>
            </w:r>
            <w:r w:rsidR="00E0198D">
              <w:rPr>
                <w:rFonts w:ascii="Calibri" w:hAnsi="Calibri"/>
                <w:bCs/>
                <w:szCs w:val="22"/>
              </w:rPr>
              <w:t xml:space="preserve">very matter was considered by the High court in </w:t>
            </w:r>
            <w:r>
              <w:rPr>
                <w:rFonts w:ascii="Calibri" w:hAnsi="Calibri"/>
                <w:bCs/>
                <w:szCs w:val="22"/>
              </w:rPr>
              <w:t>Brent LBC v Secretary of State for Housing, Communities and Local Government (2022) EWHC 1875 (Admin</w:t>
            </w:r>
            <w:r w:rsidR="00E0198D">
              <w:rPr>
                <w:rFonts w:ascii="Calibri" w:hAnsi="Calibri"/>
                <w:bCs/>
                <w:szCs w:val="22"/>
              </w:rPr>
              <w:t>) who</w:t>
            </w:r>
            <w:r w:rsidR="003448DD">
              <w:rPr>
                <w:rFonts w:ascii="Calibri" w:hAnsi="Calibri"/>
                <w:bCs/>
                <w:szCs w:val="22"/>
              </w:rPr>
              <w:t xml:space="preserve"> determined that a certificate of lawfulness appeal that had been allowed should be quashed because the Inspector had failed to have proper regard to the provisions of Sections 171B(2) and (4) and 191(2)(a) of the TCPA.</w:t>
            </w:r>
          </w:p>
          <w:p w14:paraId="7AC53BDF" w14:textId="2677D79B" w:rsidR="002B1321" w:rsidRPr="00D2450F" w:rsidRDefault="002B1321" w:rsidP="002B1321">
            <w:pPr>
              <w:pStyle w:val="Header"/>
              <w:rPr>
                <w:rFonts w:ascii="Calibri" w:hAnsi="Calibri"/>
                <w:b/>
                <w:color w:val="548DD4" w:themeColor="text2" w:themeTint="99"/>
                <w:szCs w:val="22"/>
              </w:rPr>
            </w:pPr>
          </w:p>
        </w:tc>
      </w:tr>
      <w:tr w:rsidR="00C0704D" w:rsidRPr="00D2449B" w14:paraId="0A9D02B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3819763" w14:textId="246089D6" w:rsidR="00E0413A" w:rsidRPr="00352A5D" w:rsidRDefault="003448DD" w:rsidP="00E0413A">
            <w:pPr>
              <w:pStyle w:val="Header"/>
              <w:jc w:val="both"/>
              <w:rPr>
                <w:rFonts w:ascii="Calibri" w:hAnsi="Calibri"/>
                <w:szCs w:val="22"/>
              </w:rPr>
            </w:pPr>
            <w:r>
              <w:rPr>
                <w:rFonts w:ascii="Calibri" w:hAnsi="Calibri"/>
                <w:szCs w:val="22"/>
              </w:rPr>
              <w:t>For the reasons given above further enforcement action may still be taken against the buildings therefore the development is not lawful having regard to Section 191(2) of the TCPA.</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F7455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924353B" w:rsidR="00C0704D" w:rsidRPr="00D2449B" w:rsidRDefault="00E0413A" w:rsidP="00CD2CEF">
            <w:pPr>
              <w:rPr>
                <w:rFonts w:ascii="Calibri" w:hAnsi="Calibri"/>
                <w:bCs/>
                <w:szCs w:val="22"/>
              </w:rPr>
            </w:pPr>
            <w:r>
              <w:rPr>
                <w:rFonts w:ascii="Calibri" w:hAnsi="Calibri"/>
                <w:szCs w:val="22"/>
              </w:rPr>
              <w:t>Certificate of Lawfulness</w:t>
            </w:r>
            <w:r w:rsidR="00030773">
              <w:rPr>
                <w:rFonts w:ascii="Calibri" w:hAnsi="Calibri"/>
                <w:szCs w:val="22"/>
              </w:rPr>
              <w:t xml:space="preserve"> be </w:t>
            </w:r>
            <w:r w:rsidR="003448DD">
              <w:rPr>
                <w:rFonts w:ascii="Calibri" w:hAnsi="Calibri"/>
                <w:szCs w:val="22"/>
              </w:rPr>
              <w:t>REFUSED</w:t>
            </w:r>
            <w:r w:rsidR="00030773">
              <w:rPr>
                <w:rFonts w:ascii="Calibri" w:hAnsi="Calibri"/>
                <w:szCs w:val="22"/>
              </w:rPr>
              <w:t>.</w:t>
            </w:r>
          </w:p>
        </w:tc>
      </w:tr>
    </w:tbl>
    <w:p w14:paraId="513FB541" w14:textId="77777777" w:rsidR="00C2568B" w:rsidRPr="00D2449B" w:rsidRDefault="00C2568B">
      <w:pPr>
        <w:rPr>
          <w:rFonts w:ascii="Calibri" w:hAnsi="Calibri"/>
          <w:szCs w:val="22"/>
        </w:rPr>
      </w:pPr>
    </w:p>
    <w:sectPr w:rsidR="00C2568B"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84A05"/>
    <w:multiLevelType w:val="hybridMultilevel"/>
    <w:tmpl w:val="E27AE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C52337"/>
    <w:multiLevelType w:val="hybridMultilevel"/>
    <w:tmpl w:val="72D6E498"/>
    <w:lvl w:ilvl="0" w:tplc="694265F8">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611F5B"/>
    <w:multiLevelType w:val="hybridMultilevel"/>
    <w:tmpl w:val="8F8E9F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052D2A"/>
    <w:multiLevelType w:val="hybridMultilevel"/>
    <w:tmpl w:val="C6122E60"/>
    <w:lvl w:ilvl="0" w:tplc="5FAEFE18">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6E4E0535"/>
    <w:multiLevelType w:val="hybridMultilevel"/>
    <w:tmpl w:val="DECAA066"/>
    <w:lvl w:ilvl="0" w:tplc="D6180A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5"/>
  </w:num>
  <w:num w:numId="2" w16cid:durableId="1391540678">
    <w:abstractNumId w:val="0"/>
  </w:num>
  <w:num w:numId="3" w16cid:durableId="1485967762">
    <w:abstractNumId w:val="1"/>
  </w:num>
  <w:num w:numId="4" w16cid:durableId="643432682">
    <w:abstractNumId w:val="2"/>
  </w:num>
  <w:num w:numId="5" w16cid:durableId="20982838">
    <w:abstractNumId w:val="3"/>
  </w:num>
  <w:num w:numId="6" w16cid:durableId="8944637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21F25"/>
    <w:rsid w:val="00030773"/>
    <w:rsid w:val="00046CAF"/>
    <w:rsid w:val="00073AEF"/>
    <w:rsid w:val="000A0F8D"/>
    <w:rsid w:val="000B5CB5"/>
    <w:rsid w:val="000C6262"/>
    <w:rsid w:val="00130035"/>
    <w:rsid w:val="00181D42"/>
    <w:rsid w:val="00183CF7"/>
    <w:rsid w:val="001B5604"/>
    <w:rsid w:val="001B7291"/>
    <w:rsid w:val="001D4F7A"/>
    <w:rsid w:val="00203AB0"/>
    <w:rsid w:val="00204606"/>
    <w:rsid w:val="002274F7"/>
    <w:rsid w:val="00243F7C"/>
    <w:rsid w:val="00250879"/>
    <w:rsid w:val="00256A11"/>
    <w:rsid w:val="00272486"/>
    <w:rsid w:val="00276CD5"/>
    <w:rsid w:val="0028655D"/>
    <w:rsid w:val="00290F9C"/>
    <w:rsid w:val="0029334A"/>
    <w:rsid w:val="002A01CF"/>
    <w:rsid w:val="002B1321"/>
    <w:rsid w:val="002C6277"/>
    <w:rsid w:val="002E581A"/>
    <w:rsid w:val="002F1E8B"/>
    <w:rsid w:val="002F2580"/>
    <w:rsid w:val="00305707"/>
    <w:rsid w:val="00321B6E"/>
    <w:rsid w:val="003448DD"/>
    <w:rsid w:val="00352A5D"/>
    <w:rsid w:val="003A0D09"/>
    <w:rsid w:val="003C303E"/>
    <w:rsid w:val="003F1BA0"/>
    <w:rsid w:val="00440CB6"/>
    <w:rsid w:val="0046548C"/>
    <w:rsid w:val="0047054C"/>
    <w:rsid w:val="00475261"/>
    <w:rsid w:val="004947BB"/>
    <w:rsid w:val="004A5EA9"/>
    <w:rsid w:val="004B2CCC"/>
    <w:rsid w:val="004C2434"/>
    <w:rsid w:val="004F0649"/>
    <w:rsid w:val="00510FA2"/>
    <w:rsid w:val="00556ECD"/>
    <w:rsid w:val="0056747E"/>
    <w:rsid w:val="005839B7"/>
    <w:rsid w:val="005B670D"/>
    <w:rsid w:val="005E1C6C"/>
    <w:rsid w:val="005E65DF"/>
    <w:rsid w:val="006260DA"/>
    <w:rsid w:val="006449DD"/>
    <w:rsid w:val="00652690"/>
    <w:rsid w:val="00686956"/>
    <w:rsid w:val="00692B60"/>
    <w:rsid w:val="006A71AD"/>
    <w:rsid w:val="006C2BFA"/>
    <w:rsid w:val="006D6FEE"/>
    <w:rsid w:val="006F6849"/>
    <w:rsid w:val="0070054B"/>
    <w:rsid w:val="00720052"/>
    <w:rsid w:val="00776A3A"/>
    <w:rsid w:val="00776AE2"/>
    <w:rsid w:val="007B053C"/>
    <w:rsid w:val="007B684A"/>
    <w:rsid w:val="007C791C"/>
    <w:rsid w:val="007D7DF4"/>
    <w:rsid w:val="007E0D23"/>
    <w:rsid w:val="007F16D6"/>
    <w:rsid w:val="008052AF"/>
    <w:rsid w:val="00811771"/>
    <w:rsid w:val="008542DE"/>
    <w:rsid w:val="008848C9"/>
    <w:rsid w:val="008A28C8"/>
    <w:rsid w:val="008A3B41"/>
    <w:rsid w:val="008D6B23"/>
    <w:rsid w:val="008F4A57"/>
    <w:rsid w:val="00925340"/>
    <w:rsid w:val="00994CF9"/>
    <w:rsid w:val="009B3334"/>
    <w:rsid w:val="009E419A"/>
    <w:rsid w:val="00A2017B"/>
    <w:rsid w:val="00A42E82"/>
    <w:rsid w:val="00A579BB"/>
    <w:rsid w:val="00A63D55"/>
    <w:rsid w:val="00A81860"/>
    <w:rsid w:val="00A81916"/>
    <w:rsid w:val="00A95D89"/>
    <w:rsid w:val="00AC34B4"/>
    <w:rsid w:val="00AD2870"/>
    <w:rsid w:val="00B06270"/>
    <w:rsid w:val="00B1590F"/>
    <w:rsid w:val="00B2091F"/>
    <w:rsid w:val="00B20DAD"/>
    <w:rsid w:val="00B21EF5"/>
    <w:rsid w:val="00B46E86"/>
    <w:rsid w:val="00B93EB5"/>
    <w:rsid w:val="00BB2E75"/>
    <w:rsid w:val="00BC178B"/>
    <w:rsid w:val="00BD3F03"/>
    <w:rsid w:val="00BF534E"/>
    <w:rsid w:val="00C0704D"/>
    <w:rsid w:val="00C2568B"/>
    <w:rsid w:val="00C25722"/>
    <w:rsid w:val="00C618DB"/>
    <w:rsid w:val="00CA2FBF"/>
    <w:rsid w:val="00CA7A7E"/>
    <w:rsid w:val="00CC43FD"/>
    <w:rsid w:val="00CD5C9C"/>
    <w:rsid w:val="00D11007"/>
    <w:rsid w:val="00D12415"/>
    <w:rsid w:val="00D17EB1"/>
    <w:rsid w:val="00D2449B"/>
    <w:rsid w:val="00D2450F"/>
    <w:rsid w:val="00D37429"/>
    <w:rsid w:val="00D43B7F"/>
    <w:rsid w:val="00D54E67"/>
    <w:rsid w:val="00D77B27"/>
    <w:rsid w:val="00DD2E18"/>
    <w:rsid w:val="00DD62F6"/>
    <w:rsid w:val="00DE0EC0"/>
    <w:rsid w:val="00E0198D"/>
    <w:rsid w:val="00E0413A"/>
    <w:rsid w:val="00E24DFE"/>
    <w:rsid w:val="00E46243"/>
    <w:rsid w:val="00E66534"/>
    <w:rsid w:val="00E72F6C"/>
    <w:rsid w:val="00E7727F"/>
    <w:rsid w:val="00EA09F9"/>
    <w:rsid w:val="00EC23C7"/>
    <w:rsid w:val="00ED00B7"/>
    <w:rsid w:val="00ED11FE"/>
    <w:rsid w:val="00EF35BB"/>
    <w:rsid w:val="00EF44E6"/>
    <w:rsid w:val="00F043DA"/>
    <w:rsid w:val="00F11C2A"/>
    <w:rsid w:val="00F12AE3"/>
    <w:rsid w:val="00F34BFD"/>
    <w:rsid w:val="00F513E0"/>
    <w:rsid w:val="00F6267A"/>
    <w:rsid w:val="00F7288B"/>
    <w:rsid w:val="00F74557"/>
    <w:rsid w:val="00F95C9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4031923">
      <w:bodyDiv w:val="1"/>
      <w:marLeft w:val="0"/>
      <w:marRight w:val="0"/>
      <w:marTop w:val="0"/>
      <w:marBottom w:val="0"/>
      <w:divBdr>
        <w:top w:val="none" w:sz="0" w:space="0" w:color="auto"/>
        <w:left w:val="none" w:sz="0" w:space="0" w:color="auto"/>
        <w:bottom w:val="none" w:sz="0" w:space="0" w:color="auto"/>
        <w:right w:val="none" w:sz="0" w:space="0" w:color="auto"/>
      </w:divBdr>
    </w:div>
    <w:div w:id="1188714397">
      <w:bodyDiv w:val="1"/>
      <w:marLeft w:val="0"/>
      <w:marRight w:val="0"/>
      <w:marTop w:val="0"/>
      <w:marBottom w:val="0"/>
      <w:divBdr>
        <w:top w:val="none" w:sz="0" w:space="0" w:color="auto"/>
        <w:left w:val="none" w:sz="0" w:space="0" w:color="auto"/>
        <w:bottom w:val="none" w:sz="0" w:space="0" w:color="auto"/>
        <w:right w:val="none" w:sz="0" w:space="0" w:color="auto"/>
      </w:divBdr>
    </w:div>
    <w:div w:id="1810904270">
      <w:bodyDiv w:val="1"/>
      <w:marLeft w:val="0"/>
      <w:marRight w:val="0"/>
      <w:marTop w:val="0"/>
      <w:marBottom w:val="0"/>
      <w:divBdr>
        <w:top w:val="none" w:sz="0" w:space="0" w:color="auto"/>
        <w:left w:val="none" w:sz="0" w:space="0" w:color="auto"/>
        <w:bottom w:val="none" w:sz="0" w:space="0" w:color="auto"/>
        <w:right w:val="none" w:sz="0" w:space="0" w:color="auto"/>
      </w:divBdr>
    </w:div>
    <w:div w:id="188975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2024-09-05T13:11:00Z</cp:lastPrinted>
  <dcterms:created xsi:type="dcterms:W3CDTF">2024-09-05T13:13:00Z</dcterms:created>
  <dcterms:modified xsi:type="dcterms:W3CDTF">2024-09-05T13:13:00Z</dcterms:modified>
</cp:coreProperties>
</file>