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75"/>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60C1CA9" w:rsidR="00837F4F" w:rsidRPr="00D2449B" w:rsidRDefault="008E53C9"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8F08BC0" w:rsidR="00837F4F" w:rsidRPr="00D2449B" w:rsidRDefault="00015468" w:rsidP="00D2449B">
            <w:pPr>
              <w:jc w:val="center"/>
              <w:rPr>
                <w:rFonts w:ascii="Calibri" w:hAnsi="Calibri"/>
                <w:b/>
                <w:szCs w:val="22"/>
              </w:rPr>
            </w:pPr>
            <w:r>
              <w:rPr>
                <w:rFonts w:ascii="Calibri" w:hAnsi="Calibri"/>
                <w:b/>
                <w:szCs w:val="22"/>
              </w:rPr>
              <w:t>10</w:t>
            </w:r>
            <w:r w:rsidR="0052670F">
              <w:rPr>
                <w:rFonts w:ascii="Calibri" w:hAnsi="Calibri"/>
                <w:b/>
                <w:szCs w:val="22"/>
              </w:rPr>
              <w:t>/10/24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9D5D501" w:rsidR="00837F4F" w:rsidRPr="00D2449B" w:rsidRDefault="00050E17"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B163664" w:rsidR="00837F4F" w:rsidRPr="00D2449B" w:rsidRDefault="00050E17" w:rsidP="00D2449B">
            <w:pPr>
              <w:jc w:val="center"/>
              <w:rPr>
                <w:rFonts w:ascii="Calibri" w:hAnsi="Calibri"/>
                <w:b/>
                <w:szCs w:val="22"/>
              </w:rPr>
            </w:pPr>
            <w:r>
              <w:rPr>
                <w:rFonts w:ascii="Calibri" w:hAnsi="Calibri"/>
                <w:b/>
                <w:szCs w:val="22"/>
              </w:rPr>
              <w:t>11/10/24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7C232FC" w:rsidR="004A5EA9" w:rsidRPr="005F1A36" w:rsidRDefault="008E53C9" w:rsidP="008542DE">
            <w:pPr>
              <w:rPr>
                <w:rFonts w:ascii="Calibri" w:hAnsi="Calibri"/>
                <w:szCs w:val="22"/>
              </w:rPr>
            </w:pPr>
            <w:r>
              <w:rPr>
                <w:rFonts w:ascii="Calibri" w:hAnsi="Calibri"/>
                <w:szCs w:val="22"/>
              </w:rPr>
              <w:t>3/2024/0645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55E860E" w:rsidR="00824DB6" w:rsidRPr="00C0704D" w:rsidRDefault="008E53C9" w:rsidP="002C6277">
            <w:pPr>
              <w:rPr>
                <w:rFonts w:ascii="Calibri" w:hAnsi="Calibri"/>
                <w:szCs w:val="22"/>
              </w:rPr>
            </w:pPr>
            <w:r>
              <w:rPr>
                <w:rFonts w:ascii="Calibri" w:hAnsi="Calibri"/>
                <w:szCs w:val="22"/>
              </w:rPr>
              <w:t>03/09/24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D90DF92" w:rsidR="00824DB6" w:rsidRPr="00C0704D" w:rsidRDefault="008E53C9" w:rsidP="002C6277">
            <w:pPr>
              <w:rPr>
                <w:rFonts w:ascii="Calibri" w:hAnsi="Calibri"/>
                <w:szCs w:val="22"/>
              </w:rPr>
            </w:pPr>
            <w:r>
              <w:rPr>
                <w:rFonts w:ascii="Calibri" w:hAnsi="Calibri"/>
                <w:szCs w:val="22"/>
              </w:rPr>
              <w:t>03/09/24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B00CFF4" w:rsidR="004A5EA9" w:rsidRPr="008E53C9" w:rsidRDefault="008E53C9" w:rsidP="00811771">
            <w:pPr>
              <w:rPr>
                <w:rFonts w:ascii="Calibri" w:hAnsi="Calibri"/>
                <w:szCs w:val="22"/>
              </w:rPr>
            </w:pPr>
            <w:r w:rsidRPr="008E53C9">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1712DD6" w:rsidR="004A5EA9" w:rsidRPr="002C6277" w:rsidRDefault="008E53C9">
            <w:pPr>
              <w:rPr>
                <w:rFonts w:ascii="Calibri" w:hAnsi="Calibri"/>
                <w:szCs w:val="22"/>
              </w:rPr>
            </w:pPr>
            <w:r>
              <w:rPr>
                <w:rFonts w:ascii="Calibri" w:hAnsi="Calibri"/>
                <w:szCs w:val="22"/>
              </w:rPr>
              <w:t xml:space="preserve">Partial demolition of existing dwelling including removal of main roof and single storey side extension. Remodelling and extensions to create two-storey dwelling. Resubmission of 3/2024/0041.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BF2C47C" w:rsidR="002A01CF" w:rsidRPr="002C6277" w:rsidRDefault="008E53C9" w:rsidP="00A42E82">
            <w:pPr>
              <w:rPr>
                <w:rFonts w:ascii="Calibri" w:hAnsi="Calibri"/>
                <w:szCs w:val="22"/>
              </w:rPr>
            </w:pPr>
            <w:r>
              <w:rPr>
                <w:rFonts w:ascii="Calibri" w:hAnsi="Calibri"/>
                <w:szCs w:val="22"/>
              </w:rPr>
              <w:t>Buckley Dene, Preston Road, Ribchester, PR3 3YD</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C8E7AE9" w:rsidR="002A01CF" w:rsidRPr="00295A61" w:rsidRDefault="004301CA">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1BFB942" w:rsidR="002A01CF" w:rsidRPr="004301CA" w:rsidRDefault="004301CA">
            <w:pPr>
              <w:rPr>
                <w:rFonts w:ascii="Calibri" w:hAnsi="Calibri"/>
                <w:bCs/>
                <w:szCs w:val="22"/>
              </w:rPr>
            </w:pPr>
            <w:r>
              <w:rPr>
                <w:rFonts w:ascii="Calibri" w:hAnsi="Calibri"/>
                <w:bCs/>
                <w:szCs w:val="22"/>
              </w:rPr>
              <w:t xml:space="preserve">No objection.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8597662" w:rsidR="004301CA" w:rsidRPr="004301CA" w:rsidRDefault="004301CA" w:rsidP="004301CA">
            <w:pPr>
              <w:rPr>
                <w:rFonts w:ascii="Calibri" w:hAnsi="Calibri"/>
                <w:szCs w:val="22"/>
              </w:rPr>
            </w:pPr>
            <w:r>
              <w:rPr>
                <w:rFonts w:ascii="Calibri" w:hAnsi="Calibri"/>
                <w:szCs w:val="22"/>
              </w:rPr>
              <w:t xml:space="preserve">One letter of objection has been received raising concerns with respect to overlooking and the suburban character of the proposal. </w:t>
            </w:r>
            <w:r w:rsidRPr="004301CA">
              <w:rPr>
                <w:rFonts w:ascii="Calibri" w:hAnsi="Calibri"/>
                <w:szCs w:val="22"/>
              </w:rPr>
              <w:t xml:space="preserve">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4996829" w14:textId="77777777" w:rsidR="008D26AB" w:rsidRDefault="008D26AB" w:rsidP="008D26AB">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A1E44C8" w14:textId="77777777" w:rsidR="008D26AB" w:rsidRPr="00C618DB" w:rsidRDefault="008D26AB" w:rsidP="008D26AB">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2000383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5C8670" w14:textId="5EF1DA07" w:rsidR="008D26AB" w:rsidRPr="00C618D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H3:</w:t>
            </w:r>
            <w:r>
              <w:rPr>
                <w:rFonts w:ascii="Calibri" w:hAnsi="Calibri"/>
                <w:szCs w:val="22"/>
              </w:rPr>
              <w:tab/>
              <w:t>Dwellings in the Open Countryside and AONB</w:t>
            </w:r>
          </w:p>
          <w:p w14:paraId="7F9E33D3" w14:textId="77777777" w:rsidR="008D26A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2B62C90" w14:textId="77777777" w:rsidR="00D102CB" w:rsidRDefault="00D102CB" w:rsidP="009C1F22">
            <w:pPr>
              <w:pStyle w:val="PLANNING"/>
              <w:rPr>
                <w:rFonts w:ascii="Calibri" w:hAnsi="Calibri"/>
                <w:szCs w:val="22"/>
              </w:rPr>
            </w:pPr>
            <w:r>
              <w:rPr>
                <w:rFonts w:ascii="Calibri" w:hAnsi="Calibri"/>
                <w:szCs w:val="22"/>
              </w:rPr>
              <w:t xml:space="preserve">3/2024/0041: Partial demolition of existing dwelling including removal of main roof and single storey side extension. Remodelling and extensions to create two storey dwelling with annexe accommodation (Refused). </w:t>
            </w:r>
          </w:p>
          <w:p w14:paraId="5595958A" w14:textId="77777777" w:rsidR="00D102CB" w:rsidRDefault="00D102CB" w:rsidP="009C1F22">
            <w:pPr>
              <w:pStyle w:val="PLANNING"/>
              <w:rPr>
                <w:rFonts w:ascii="Calibri" w:hAnsi="Calibri"/>
                <w:szCs w:val="22"/>
              </w:rPr>
            </w:pPr>
          </w:p>
          <w:p w14:paraId="694B7E99" w14:textId="77777777" w:rsidR="00D102CB" w:rsidRPr="00D102CB" w:rsidRDefault="00056599" w:rsidP="00D102CB">
            <w:pPr>
              <w:pStyle w:val="PLANNING"/>
              <w:rPr>
                <w:rFonts w:ascii="Calibri" w:hAnsi="Calibri"/>
                <w:szCs w:val="22"/>
              </w:rPr>
            </w:pPr>
            <w:r w:rsidRPr="00056599">
              <w:rPr>
                <w:rFonts w:ascii="Calibri" w:hAnsi="Calibri"/>
                <w:szCs w:val="22"/>
              </w:rPr>
              <w:t xml:space="preserve"> </w:t>
            </w:r>
            <w:r w:rsidR="00D102CB" w:rsidRPr="00D102CB">
              <w:rPr>
                <w:rFonts w:ascii="Calibri" w:hAnsi="Calibri"/>
                <w:szCs w:val="22"/>
              </w:rPr>
              <w:t xml:space="preserve">3/1992/0386: Loft conversion with dormer extension (Approved). </w:t>
            </w:r>
          </w:p>
          <w:p w14:paraId="104490B9" w14:textId="77777777" w:rsidR="00D102CB" w:rsidRPr="00D102CB" w:rsidRDefault="00D102CB" w:rsidP="00D102CB">
            <w:pPr>
              <w:pStyle w:val="PLANNING"/>
              <w:rPr>
                <w:rFonts w:ascii="Calibri" w:hAnsi="Calibri"/>
                <w:szCs w:val="22"/>
              </w:rPr>
            </w:pPr>
          </w:p>
          <w:p w14:paraId="3170B438" w14:textId="77777777" w:rsidR="00D102CB" w:rsidRPr="00D102CB" w:rsidRDefault="00D102CB" w:rsidP="00D102CB">
            <w:pPr>
              <w:pStyle w:val="PLANNING"/>
              <w:rPr>
                <w:rFonts w:ascii="Calibri" w:hAnsi="Calibri"/>
                <w:szCs w:val="22"/>
              </w:rPr>
            </w:pPr>
            <w:r w:rsidRPr="00D102CB">
              <w:rPr>
                <w:rFonts w:ascii="Calibri" w:hAnsi="Calibri"/>
                <w:szCs w:val="22"/>
              </w:rPr>
              <w:t xml:space="preserve">3/1986/0724: Extension to form kitchen, utility and study (Approved). </w:t>
            </w:r>
          </w:p>
          <w:p w14:paraId="4BBE85DC" w14:textId="77777777" w:rsidR="00D102CB" w:rsidRPr="00D102CB" w:rsidRDefault="00D102CB" w:rsidP="00D102CB">
            <w:pPr>
              <w:pStyle w:val="PLANNING"/>
              <w:rPr>
                <w:rFonts w:ascii="Calibri" w:hAnsi="Calibri"/>
                <w:szCs w:val="22"/>
              </w:rPr>
            </w:pPr>
          </w:p>
          <w:p w14:paraId="672227A1" w14:textId="77777777" w:rsidR="00D102CB" w:rsidRPr="00D102CB" w:rsidRDefault="00D102CB" w:rsidP="00D102CB">
            <w:pPr>
              <w:pStyle w:val="PLANNING"/>
              <w:rPr>
                <w:rFonts w:ascii="Calibri" w:hAnsi="Calibri"/>
                <w:szCs w:val="22"/>
              </w:rPr>
            </w:pPr>
            <w:r w:rsidRPr="00D102CB">
              <w:rPr>
                <w:rFonts w:ascii="Calibri" w:hAnsi="Calibri"/>
                <w:szCs w:val="22"/>
              </w:rPr>
              <w:t xml:space="preserve">3/1983/0125: Lounge and garage extension (Approved). </w:t>
            </w:r>
          </w:p>
          <w:p w14:paraId="24573C1C" w14:textId="77777777" w:rsidR="00D102CB" w:rsidRPr="00D102CB" w:rsidRDefault="00D102CB" w:rsidP="00D102CB">
            <w:pPr>
              <w:pStyle w:val="PLANNING"/>
              <w:rPr>
                <w:rFonts w:ascii="Calibri" w:hAnsi="Calibri"/>
                <w:szCs w:val="22"/>
              </w:rPr>
            </w:pPr>
          </w:p>
          <w:p w14:paraId="41A9B1DF" w14:textId="77777777" w:rsidR="00D102CB" w:rsidRPr="00D102CB" w:rsidRDefault="00D102CB" w:rsidP="00D102CB">
            <w:pPr>
              <w:pStyle w:val="PLANNING"/>
              <w:rPr>
                <w:rFonts w:ascii="Calibri" w:hAnsi="Calibri"/>
                <w:szCs w:val="22"/>
              </w:rPr>
            </w:pPr>
            <w:r w:rsidRPr="00D102CB">
              <w:rPr>
                <w:rFonts w:ascii="Calibri" w:hAnsi="Calibri"/>
                <w:szCs w:val="22"/>
              </w:rPr>
              <w:t xml:space="preserve">4/6/1605: Bungalow (Approved). </w:t>
            </w:r>
          </w:p>
          <w:p w14:paraId="26199E97" w14:textId="77777777" w:rsidR="00D102CB" w:rsidRPr="00D102CB" w:rsidRDefault="00D102CB" w:rsidP="00D102CB">
            <w:pPr>
              <w:pStyle w:val="PLANNING"/>
              <w:rPr>
                <w:rFonts w:ascii="Calibri" w:hAnsi="Calibri"/>
                <w:szCs w:val="22"/>
              </w:rPr>
            </w:pPr>
          </w:p>
          <w:p w14:paraId="5A9E11FB" w14:textId="74DB8C8F" w:rsidR="00406EBD" w:rsidRPr="00056599" w:rsidRDefault="00D102CB" w:rsidP="009C1F22">
            <w:pPr>
              <w:pStyle w:val="PLANNING"/>
              <w:rPr>
                <w:rFonts w:ascii="Calibri" w:hAnsi="Calibri"/>
                <w:szCs w:val="22"/>
              </w:rPr>
            </w:pPr>
            <w:r w:rsidRPr="00D102CB">
              <w:rPr>
                <w:rFonts w:ascii="Calibri" w:hAnsi="Calibri"/>
                <w:szCs w:val="22"/>
              </w:rPr>
              <w:t xml:space="preserve">4/6/1477: Site plan of bungalow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0F53FE0" w14:textId="77777777" w:rsidR="00A43CDE" w:rsidRDefault="00D102CB"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bungalow property which is set back from the main highway of Preston Road and accessed via a private access track leading to Buckley Hall and Buckley Hall Farm. The property comprises a sizeable footprint with render and natural stonework to the external elevations, along with concrete roof tiles and white uPVC windows. The site to which the proposal relates is located within the Open Countryside, approximately 2km south-east of the defined settlement limits of Longridge and 1.7km north-west of Ribchester. To the north-west of the site is a small cluster of traditional stone built two-storey dwellings sited along Preston Road in a linear form, however this aside, other surrounding uses remain agricultural directly to the north, south and east of the property. </w:t>
            </w:r>
          </w:p>
          <w:p w14:paraId="62370E9F" w14:textId="0EDBC8A9" w:rsidR="00D102CB" w:rsidRPr="006C2BFA" w:rsidRDefault="00D102CB"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5005F5" w:rsidRDefault="00C0704D" w:rsidP="00440CB6">
            <w:pPr>
              <w:pStyle w:val="Header"/>
              <w:tabs>
                <w:tab w:val="clear" w:pos="4153"/>
                <w:tab w:val="clear" w:pos="8306"/>
              </w:tabs>
              <w:jc w:val="both"/>
              <w:rPr>
                <w:rFonts w:ascii="Calibri" w:hAnsi="Calibri"/>
                <w:b/>
                <w:szCs w:val="22"/>
              </w:rPr>
            </w:pPr>
            <w:r w:rsidRPr="005005F5">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AB3D9E4" w14:textId="22089441" w:rsidR="00A43CDE" w:rsidRDefault="00D102CB" w:rsidP="008D26AB">
            <w:pPr>
              <w:pStyle w:val="Header"/>
              <w:tabs>
                <w:tab w:val="clear" w:pos="4153"/>
                <w:tab w:val="clear" w:pos="8306"/>
              </w:tabs>
              <w:jc w:val="both"/>
              <w:rPr>
                <w:rFonts w:ascii="Calibri" w:hAnsi="Calibri"/>
                <w:szCs w:val="22"/>
              </w:rPr>
            </w:pPr>
            <w:r>
              <w:rPr>
                <w:rFonts w:ascii="Calibri" w:hAnsi="Calibri"/>
                <w:szCs w:val="22"/>
              </w:rPr>
              <w:t>Consent is sought for the partial demolition of the existing dwellinghouse including the removal of the main roof and single storey side extension and remodelling and extensions to create a new four-bedroom dwelling with open plan kitchen/ diner/ family room, lounge, playroom, utility, office</w:t>
            </w:r>
            <w:r w:rsidR="005C1728">
              <w:rPr>
                <w:rFonts w:ascii="Calibri" w:hAnsi="Calibri"/>
                <w:szCs w:val="22"/>
              </w:rPr>
              <w:t xml:space="preserve"> and</w:t>
            </w:r>
            <w:r>
              <w:rPr>
                <w:rFonts w:ascii="Calibri" w:hAnsi="Calibri"/>
                <w:szCs w:val="22"/>
              </w:rPr>
              <w:t xml:space="preserve"> porch</w:t>
            </w:r>
            <w:r w:rsidR="0035731D">
              <w:rPr>
                <w:rFonts w:ascii="Calibri" w:hAnsi="Calibri"/>
                <w:szCs w:val="22"/>
              </w:rPr>
              <w:t>.</w:t>
            </w:r>
          </w:p>
          <w:p w14:paraId="2A519166" w14:textId="77777777" w:rsidR="005C1728" w:rsidRDefault="005C1728" w:rsidP="008D26AB">
            <w:pPr>
              <w:pStyle w:val="Header"/>
              <w:tabs>
                <w:tab w:val="clear" w:pos="4153"/>
                <w:tab w:val="clear" w:pos="8306"/>
              </w:tabs>
              <w:jc w:val="both"/>
              <w:rPr>
                <w:rFonts w:ascii="Calibri" w:hAnsi="Calibri"/>
                <w:szCs w:val="22"/>
              </w:rPr>
            </w:pPr>
          </w:p>
          <w:p w14:paraId="2DCFCF95" w14:textId="7D5D61B5" w:rsidR="005C1728" w:rsidRDefault="005C1728" w:rsidP="008D26AB">
            <w:pPr>
              <w:pStyle w:val="Header"/>
              <w:tabs>
                <w:tab w:val="clear" w:pos="4153"/>
                <w:tab w:val="clear" w:pos="8306"/>
              </w:tabs>
              <w:jc w:val="both"/>
              <w:rPr>
                <w:rFonts w:ascii="Calibri" w:hAnsi="Calibri"/>
                <w:szCs w:val="22"/>
              </w:rPr>
            </w:pPr>
            <w:r>
              <w:rPr>
                <w:rFonts w:ascii="Calibri" w:hAnsi="Calibri"/>
                <w:szCs w:val="22"/>
              </w:rPr>
              <w:t xml:space="preserve">The building would have a maximum width and depth of </w:t>
            </w:r>
            <w:r w:rsidR="00DE1FB0">
              <w:rPr>
                <w:rFonts w:ascii="Calibri" w:hAnsi="Calibri"/>
                <w:szCs w:val="22"/>
              </w:rPr>
              <w:t>28.3m</w:t>
            </w:r>
            <w:r>
              <w:rPr>
                <w:rFonts w:ascii="Calibri" w:hAnsi="Calibri"/>
                <w:szCs w:val="22"/>
              </w:rPr>
              <w:t xml:space="preserve"> and </w:t>
            </w:r>
            <w:r w:rsidR="00DE1FB0">
              <w:rPr>
                <w:rFonts w:ascii="Calibri" w:hAnsi="Calibri"/>
                <w:szCs w:val="22"/>
              </w:rPr>
              <w:t>17.7m</w:t>
            </w:r>
            <w:r>
              <w:rPr>
                <w:rFonts w:ascii="Calibri" w:hAnsi="Calibri"/>
                <w:szCs w:val="22"/>
              </w:rPr>
              <w:t xml:space="preserve"> respectively and height of </w:t>
            </w:r>
            <w:r w:rsidR="00DE1FB0">
              <w:rPr>
                <w:rFonts w:ascii="Calibri" w:hAnsi="Calibri"/>
                <w:szCs w:val="22"/>
              </w:rPr>
              <w:t>7.5m</w:t>
            </w:r>
            <w:r>
              <w:rPr>
                <w:rFonts w:ascii="Calibri" w:hAnsi="Calibri"/>
                <w:szCs w:val="22"/>
              </w:rPr>
              <w:t xml:space="preserve">. The new dwelling would be part single storey and part two-storey and would incorporate a varied roof form including a twin reverse gable principal elevation linked by a single storey flat roof element, a single storey gable ‘wing’ leading to the playroom, and single storey flat roof entrance porch to the front. A substantial level of fenestration is proposed to all elevations, including rooflights. The materials are to be natural stone and render to the external elevations, along with natural slate roof tiles and aluminium windows. </w:t>
            </w:r>
          </w:p>
          <w:p w14:paraId="1B20488F" w14:textId="2506BA45" w:rsidR="005C1728" w:rsidRPr="00D54E67" w:rsidRDefault="005C1728" w:rsidP="008D26AB">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718F4D8B" w14:textId="60AC83F8" w:rsidR="008D26AB" w:rsidRDefault="005C1728" w:rsidP="008D26AB">
            <w:pPr>
              <w:pStyle w:val="Header"/>
              <w:tabs>
                <w:tab w:val="clear" w:pos="4153"/>
                <w:tab w:val="clear" w:pos="8306"/>
              </w:tabs>
              <w:jc w:val="both"/>
              <w:rPr>
                <w:rFonts w:ascii="Calibri" w:hAnsi="Calibri"/>
                <w:bCs/>
                <w:szCs w:val="22"/>
              </w:rPr>
            </w:pPr>
            <w:r>
              <w:rPr>
                <w:rFonts w:ascii="Calibri" w:hAnsi="Calibri"/>
                <w:bCs/>
                <w:szCs w:val="22"/>
              </w:rPr>
              <w:t>Due to the exten</w:t>
            </w:r>
            <w:r w:rsidR="009D238F">
              <w:rPr>
                <w:rFonts w:ascii="Calibri" w:hAnsi="Calibri"/>
                <w:bCs/>
                <w:szCs w:val="22"/>
              </w:rPr>
              <w:t>t</w:t>
            </w:r>
            <w:r>
              <w:rPr>
                <w:rFonts w:ascii="Calibri" w:hAnsi="Calibri"/>
                <w:bCs/>
                <w:szCs w:val="22"/>
              </w:rPr>
              <w:t xml:space="preserve"> of demolition and re-modelling proposed, the proposal is tantamount to the construction of a replacement dwellinghouse with</w:t>
            </w:r>
            <w:r w:rsidR="009D238F">
              <w:rPr>
                <w:rFonts w:ascii="Calibri" w:hAnsi="Calibri"/>
                <w:bCs/>
                <w:szCs w:val="22"/>
              </w:rPr>
              <w:t>in</w:t>
            </w:r>
            <w:r>
              <w:rPr>
                <w:rFonts w:ascii="Calibri" w:hAnsi="Calibri"/>
                <w:bCs/>
                <w:szCs w:val="22"/>
              </w:rPr>
              <w:t xml:space="preserve"> the defined Open Countryside. In this respect, both Policies DMG2 and DMH3 of the Ribble Valley Core Strategy are engaged for the purposes of assessing the application. </w:t>
            </w:r>
          </w:p>
          <w:p w14:paraId="6146A03A" w14:textId="77777777" w:rsidR="005C1728" w:rsidRDefault="005C1728" w:rsidP="008D26AB">
            <w:pPr>
              <w:pStyle w:val="Header"/>
              <w:tabs>
                <w:tab w:val="clear" w:pos="4153"/>
                <w:tab w:val="clear" w:pos="8306"/>
              </w:tabs>
              <w:jc w:val="both"/>
              <w:rPr>
                <w:rFonts w:ascii="Calibri" w:hAnsi="Calibri"/>
                <w:bCs/>
                <w:szCs w:val="22"/>
              </w:rPr>
            </w:pPr>
          </w:p>
          <w:p w14:paraId="3E625C2A" w14:textId="77777777" w:rsidR="005C1728" w:rsidRDefault="005C1728" w:rsidP="008D26AB">
            <w:pPr>
              <w:pStyle w:val="Header"/>
              <w:tabs>
                <w:tab w:val="clear" w:pos="4153"/>
                <w:tab w:val="clear" w:pos="8306"/>
              </w:tabs>
              <w:jc w:val="both"/>
              <w:rPr>
                <w:rFonts w:ascii="Calibri" w:hAnsi="Calibri"/>
                <w:bCs/>
                <w:szCs w:val="22"/>
              </w:rPr>
            </w:pPr>
            <w:r>
              <w:rPr>
                <w:rFonts w:ascii="Calibri" w:hAnsi="Calibri"/>
                <w:bCs/>
                <w:szCs w:val="22"/>
              </w:rPr>
              <w:t xml:space="preserve">Policy DMG2 of the Ribble Valley Core Strategy seeks to restrict residential development within the Open Countryside and Tier 2 Village Settlements to that which meets a number of criteria, with Key Statement DS1 also reaffirming these criteria and setting out the overall spatial aspirations for development within the Borough. </w:t>
            </w:r>
          </w:p>
          <w:p w14:paraId="0780A88C" w14:textId="77777777" w:rsidR="005C1728" w:rsidRDefault="005C1728" w:rsidP="008D26AB">
            <w:pPr>
              <w:pStyle w:val="Header"/>
              <w:tabs>
                <w:tab w:val="clear" w:pos="4153"/>
                <w:tab w:val="clear" w:pos="8306"/>
              </w:tabs>
              <w:jc w:val="both"/>
              <w:rPr>
                <w:rFonts w:ascii="Calibri" w:hAnsi="Calibri"/>
                <w:bCs/>
                <w:szCs w:val="22"/>
              </w:rPr>
            </w:pPr>
          </w:p>
          <w:p w14:paraId="18B8A515" w14:textId="77777777" w:rsidR="005C1728" w:rsidRDefault="005C1728" w:rsidP="008D26AB">
            <w:pPr>
              <w:pStyle w:val="Header"/>
              <w:tabs>
                <w:tab w:val="clear" w:pos="4153"/>
                <w:tab w:val="clear" w:pos="8306"/>
              </w:tabs>
              <w:jc w:val="both"/>
              <w:rPr>
                <w:rFonts w:ascii="Calibri" w:hAnsi="Calibri"/>
                <w:bCs/>
                <w:szCs w:val="22"/>
              </w:rPr>
            </w:pPr>
            <w:r>
              <w:rPr>
                <w:rFonts w:ascii="Calibri" w:hAnsi="Calibri"/>
                <w:bCs/>
                <w:szCs w:val="22"/>
              </w:rPr>
              <w:t xml:space="preserve">The proposal site is located outside of any defined settlement limits. In this respect, Policy DMG2 states that development outside of the defined settlement areas must meet a number of considerations – however in this instance, a replacement dwelling is considered acceptable given there would be no net gain in residential planning units. </w:t>
            </w:r>
          </w:p>
          <w:p w14:paraId="20BEF4E1" w14:textId="77777777" w:rsidR="005C1728" w:rsidRDefault="005C1728" w:rsidP="008D26AB">
            <w:pPr>
              <w:pStyle w:val="Header"/>
              <w:tabs>
                <w:tab w:val="clear" w:pos="4153"/>
                <w:tab w:val="clear" w:pos="8306"/>
              </w:tabs>
              <w:jc w:val="both"/>
              <w:rPr>
                <w:rFonts w:ascii="Calibri" w:hAnsi="Calibri"/>
                <w:bCs/>
                <w:szCs w:val="22"/>
              </w:rPr>
            </w:pPr>
          </w:p>
          <w:p w14:paraId="2A700817" w14:textId="77777777" w:rsidR="005C1728" w:rsidRDefault="005C1728" w:rsidP="008D26AB">
            <w:pPr>
              <w:pStyle w:val="Header"/>
              <w:tabs>
                <w:tab w:val="clear" w:pos="4153"/>
                <w:tab w:val="clear" w:pos="8306"/>
              </w:tabs>
              <w:jc w:val="both"/>
              <w:rPr>
                <w:rFonts w:ascii="Calibri" w:hAnsi="Calibri"/>
                <w:bCs/>
                <w:szCs w:val="22"/>
              </w:rPr>
            </w:pPr>
            <w:r>
              <w:rPr>
                <w:rFonts w:ascii="Calibri" w:hAnsi="Calibri"/>
                <w:bCs/>
                <w:szCs w:val="22"/>
              </w:rPr>
              <w:t xml:space="preserve">In addition, Policy DMH3 </w:t>
            </w:r>
            <w:r w:rsidR="00B9298E">
              <w:rPr>
                <w:rFonts w:ascii="Calibri" w:hAnsi="Calibri"/>
                <w:bCs/>
                <w:szCs w:val="22"/>
              </w:rPr>
              <w:t xml:space="preserve">of the Core Strategy states that, within areas defined as Open Countryside, residential development will be limited to a number of criteria, the most relevant being as follows: </w:t>
            </w:r>
          </w:p>
          <w:p w14:paraId="480E8EEF" w14:textId="77777777" w:rsidR="0052670F" w:rsidRDefault="0052670F" w:rsidP="008D26AB">
            <w:pPr>
              <w:pStyle w:val="Header"/>
              <w:tabs>
                <w:tab w:val="clear" w:pos="4153"/>
                <w:tab w:val="clear" w:pos="8306"/>
              </w:tabs>
              <w:jc w:val="both"/>
              <w:rPr>
                <w:rFonts w:ascii="Calibri" w:hAnsi="Calibri"/>
                <w:bCs/>
                <w:szCs w:val="22"/>
              </w:rPr>
            </w:pPr>
          </w:p>
          <w:p w14:paraId="5FB1D538" w14:textId="77777777" w:rsidR="00B9298E" w:rsidRPr="00B9298E" w:rsidRDefault="00B9298E" w:rsidP="00B9298E">
            <w:pPr>
              <w:pStyle w:val="Header"/>
              <w:tabs>
                <w:tab w:val="clear" w:pos="4153"/>
                <w:tab w:val="clear" w:pos="8306"/>
              </w:tabs>
              <w:rPr>
                <w:rFonts w:ascii="Calibri" w:hAnsi="Calibri"/>
                <w:bCs/>
                <w:i/>
                <w:iCs/>
                <w:szCs w:val="22"/>
              </w:rPr>
            </w:pPr>
            <w:r w:rsidRPr="00B9298E">
              <w:rPr>
                <w:rFonts w:ascii="Calibri" w:hAnsi="Calibri"/>
                <w:bCs/>
                <w:i/>
                <w:iCs/>
                <w:szCs w:val="22"/>
              </w:rPr>
              <w:t xml:space="preserve">The rebuilding or replacement of existing dwellings is subject to the following criteria: </w:t>
            </w:r>
          </w:p>
          <w:p w14:paraId="444DB85C" w14:textId="77777777" w:rsidR="00B9298E" w:rsidRPr="00B9298E" w:rsidRDefault="00B9298E" w:rsidP="00B9298E">
            <w:pPr>
              <w:pStyle w:val="Header"/>
              <w:numPr>
                <w:ilvl w:val="0"/>
                <w:numId w:val="4"/>
              </w:numPr>
              <w:tabs>
                <w:tab w:val="clear" w:pos="4153"/>
                <w:tab w:val="clear" w:pos="8306"/>
              </w:tabs>
              <w:rPr>
                <w:rFonts w:ascii="Calibri" w:hAnsi="Calibri"/>
                <w:bCs/>
                <w:i/>
                <w:iCs/>
                <w:szCs w:val="22"/>
              </w:rPr>
            </w:pPr>
            <w:r w:rsidRPr="00B9298E">
              <w:rPr>
                <w:rFonts w:ascii="Calibri" w:hAnsi="Calibri"/>
                <w:bCs/>
                <w:i/>
                <w:iCs/>
                <w:szCs w:val="22"/>
              </w:rPr>
              <w:lastRenderedPageBreak/>
              <w:t>The residential use of the property should not have been abandoned;</w:t>
            </w:r>
          </w:p>
          <w:p w14:paraId="74A6744A" w14:textId="77777777" w:rsidR="00B9298E" w:rsidRPr="00B9298E" w:rsidRDefault="00B9298E" w:rsidP="00B9298E">
            <w:pPr>
              <w:pStyle w:val="Header"/>
              <w:numPr>
                <w:ilvl w:val="0"/>
                <w:numId w:val="4"/>
              </w:numPr>
              <w:tabs>
                <w:tab w:val="clear" w:pos="4153"/>
                <w:tab w:val="clear" w:pos="8306"/>
              </w:tabs>
              <w:rPr>
                <w:rFonts w:ascii="Calibri" w:hAnsi="Calibri"/>
                <w:bCs/>
                <w:i/>
                <w:iCs/>
                <w:szCs w:val="22"/>
              </w:rPr>
            </w:pPr>
            <w:r w:rsidRPr="00B9298E">
              <w:rPr>
                <w:rFonts w:ascii="Calibri" w:hAnsi="Calibri"/>
                <w:bCs/>
                <w:i/>
                <w:iCs/>
                <w:szCs w:val="22"/>
              </w:rPr>
              <w:t>There being no adverse impact on the landscape in relation to the new dwelling;</w:t>
            </w:r>
          </w:p>
          <w:p w14:paraId="30C8370A" w14:textId="77777777" w:rsidR="00B9298E" w:rsidRPr="00B9298E" w:rsidRDefault="00B9298E" w:rsidP="00B9298E">
            <w:pPr>
              <w:pStyle w:val="Header"/>
              <w:numPr>
                <w:ilvl w:val="0"/>
                <w:numId w:val="4"/>
              </w:numPr>
              <w:tabs>
                <w:tab w:val="clear" w:pos="4153"/>
                <w:tab w:val="clear" w:pos="8306"/>
              </w:tabs>
              <w:rPr>
                <w:rFonts w:ascii="Calibri" w:hAnsi="Calibri"/>
                <w:bCs/>
                <w:i/>
                <w:iCs/>
                <w:szCs w:val="22"/>
              </w:rPr>
            </w:pPr>
            <w:r w:rsidRPr="00B9298E">
              <w:rPr>
                <w:rFonts w:ascii="Calibri" w:hAnsi="Calibri"/>
                <w:bCs/>
                <w:i/>
                <w:iCs/>
                <w:szCs w:val="22"/>
              </w:rPr>
              <w:t xml:space="preserve">The need to extend an existing curtilage.’ </w:t>
            </w:r>
          </w:p>
          <w:p w14:paraId="578B7D59" w14:textId="77777777" w:rsidR="00B9298E" w:rsidRDefault="00B9298E" w:rsidP="008D26AB">
            <w:pPr>
              <w:pStyle w:val="Header"/>
              <w:tabs>
                <w:tab w:val="clear" w:pos="4153"/>
                <w:tab w:val="clear" w:pos="8306"/>
              </w:tabs>
              <w:jc w:val="both"/>
              <w:rPr>
                <w:rFonts w:ascii="Calibri" w:hAnsi="Calibri"/>
                <w:bCs/>
                <w:szCs w:val="22"/>
              </w:rPr>
            </w:pPr>
          </w:p>
          <w:p w14:paraId="6F48B348" w14:textId="2BA5302E" w:rsidR="00B9298E" w:rsidRDefault="00B9298E" w:rsidP="008D26AB">
            <w:pPr>
              <w:pStyle w:val="Header"/>
              <w:tabs>
                <w:tab w:val="clear" w:pos="4153"/>
                <w:tab w:val="clear" w:pos="8306"/>
              </w:tabs>
              <w:jc w:val="both"/>
              <w:rPr>
                <w:rFonts w:ascii="Calibri" w:hAnsi="Calibri"/>
                <w:bCs/>
                <w:szCs w:val="22"/>
              </w:rPr>
            </w:pPr>
            <w:r>
              <w:rPr>
                <w:rFonts w:ascii="Calibri" w:hAnsi="Calibri"/>
                <w:bCs/>
                <w:szCs w:val="22"/>
              </w:rPr>
              <w:t xml:space="preserve">In this respect, the proposal involves the replacement of an existing dwelling of which the residential use has not been abandoned. In addition, it is not considered that there would be any adverse impacts upon the surrounding landscape and no extension of the site’s existing curtilage is proposed. </w:t>
            </w:r>
          </w:p>
          <w:p w14:paraId="686B2B7B" w14:textId="77777777" w:rsidR="00B9298E" w:rsidRDefault="00B9298E" w:rsidP="008D26AB">
            <w:pPr>
              <w:pStyle w:val="Header"/>
              <w:tabs>
                <w:tab w:val="clear" w:pos="4153"/>
                <w:tab w:val="clear" w:pos="8306"/>
              </w:tabs>
              <w:jc w:val="both"/>
              <w:rPr>
                <w:rFonts w:ascii="Calibri" w:hAnsi="Calibri"/>
                <w:bCs/>
                <w:szCs w:val="22"/>
              </w:rPr>
            </w:pPr>
          </w:p>
          <w:p w14:paraId="4AE0C80A" w14:textId="3961D339" w:rsidR="00B9298E" w:rsidRDefault="00B9298E" w:rsidP="008D26AB">
            <w:pPr>
              <w:pStyle w:val="Header"/>
              <w:tabs>
                <w:tab w:val="clear" w:pos="4153"/>
                <w:tab w:val="clear" w:pos="8306"/>
              </w:tabs>
              <w:jc w:val="both"/>
              <w:rPr>
                <w:rFonts w:ascii="Calibri" w:hAnsi="Calibri"/>
                <w:bCs/>
                <w:szCs w:val="22"/>
              </w:rPr>
            </w:pPr>
            <w:r>
              <w:rPr>
                <w:rFonts w:ascii="Calibri" w:hAnsi="Calibri"/>
                <w:bCs/>
                <w:szCs w:val="22"/>
              </w:rPr>
              <w:t xml:space="preserve">As such, the proposal </w:t>
            </w:r>
            <w:r w:rsidR="00CC0B80">
              <w:rPr>
                <w:rFonts w:ascii="Calibri" w:hAnsi="Calibri"/>
                <w:bCs/>
                <w:szCs w:val="22"/>
              </w:rPr>
              <w:t>satisfies</w:t>
            </w:r>
            <w:r>
              <w:rPr>
                <w:rFonts w:ascii="Calibri" w:hAnsi="Calibri"/>
                <w:bCs/>
                <w:szCs w:val="22"/>
              </w:rPr>
              <w:t xml:space="preserve"> the requirements of </w:t>
            </w:r>
            <w:r w:rsidR="00CC0B80">
              <w:rPr>
                <w:rFonts w:ascii="Calibri" w:hAnsi="Calibri"/>
                <w:bCs/>
                <w:szCs w:val="22"/>
              </w:rPr>
              <w:t xml:space="preserve">Policies DMG2 and DMH3 and Key Statement DS1 of the Core Strategy and is therefore considered to be acceptable in principle subject to an assessment of the additional material planning considerations. </w:t>
            </w:r>
          </w:p>
          <w:p w14:paraId="6D65AF3D" w14:textId="61850B37" w:rsidR="00B9298E" w:rsidRPr="005C1728" w:rsidRDefault="00B9298E" w:rsidP="008D26AB">
            <w:pPr>
              <w:pStyle w:val="Header"/>
              <w:tabs>
                <w:tab w:val="clear" w:pos="4153"/>
                <w:tab w:val="clear" w:pos="8306"/>
              </w:tabs>
              <w:jc w:val="both"/>
              <w:rPr>
                <w:rFonts w:ascii="Calibri" w:hAnsi="Calibri"/>
                <w:bCs/>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96BE6">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896BE6">
            <w:pPr>
              <w:pStyle w:val="Header"/>
              <w:tabs>
                <w:tab w:val="clear" w:pos="4153"/>
                <w:tab w:val="clear" w:pos="8306"/>
              </w:tabs>
              <w:contextualSpacing/>
              <w:jc w:val="both"/>
              <w:rPr>
                <w:rFonts w:ascii="Calibri" w:hAnsi="Calibri"/>
                <w:b/>
                <w:szCs w:val="22"/>
              </w:rPr>
            </w:pPr>
          </w:p>
          <w:p w14:paraId="3867EADD" w14:textId="76F6A33F" w:rsidR="00896BE6" w:rsidRDefault="00CC0B80" w:rsidP="00896BE6">
            <w:pPr>
              <w:contextualSpacing/>
              <w:jc w:val="both"/>
              <w:rPr>
                <w:rFonts w:ascii="Calibri" w:hAnsi="Calibri"/>
                <w:szCs w:val="22"/>
              </w:rPr>
            </w:pPr>
            <w:r>
              <w:rPr>
                <w:rFonts w:ascii="Calibri" w:hAnsi="Calibri"/>
                <w:szCs w:val="22"/>
              </w:rPr>
              <w:t xml:space="preserve">In regard to the privacy of neighbouring occupants, it is not expected that the proposed development would have any harmful impact, given the dwellinghouse has no direct interface with any nearby residential properties. The proposal would remain approximately 47m away from the nearest residential receptor to the west known as Buckley Gate and in excess of 150m away from the residential properties to the north and east. It is therefore not anticipated that any new opportunities for direct overlooking or loss of privacy would be created as a result of the works proposed. Furthermore, </w:t>
            </w:r>
            <w:r w:rsidR="00896BE6">
              <w:rPr>
                <w:rFonts w:ascii="Calibri" w:hAnsi="Calibri"/>
                <w:szCs w:val="22"/>
              </w:rPr>
              <w:t xml:space="preserve">given the aforementioned separation distances, no significant loss of light or overbearing impact would be resultant. </w:t>
            </w:r>
          </w:p>
          <w:p w14:paraId="62BCE883" w14:textId="77777777" w:rsidR="00896BE6" w:rsidRDefault="00896BE6" w:rsidP="00896BE6">
            <w:pPr>
              <w:contextualSpacing/>
              <w:jc w:val="both"/>
              <w:rPr>
                <w:rFonts w:ascii="Calibri" w:hAnsi="Calibri"/>
                <w:szCs w:val="22"/>
              </w:rPr>
            </w:pPr>
          </w:p>
          <w:p w14:paraId="10557F55" w14:textId="77777777" w:rsidR="00CC0B80" w:rsidRDefault="00896BE6" w:rsidP="00896BE6">
            <w:pPr>
              <w:contextualSpacing/>
              <w:jc w:val="both"/>
              <w:rPr>
                <w:rFonts w:ascii="Calibri" w:hAnsi="Calibri"/>
                <w:szCs w:val="22"/>
              </w:rPr>
            </w:pPr>
            <w:r>
              <w:rPr>
                <w:rFonts w:ascii="Calibri" w:hAnsi="Calibri"/>
                <w:szCs w:val="22"/>
              </w:rPr>
              <w:t xml:space="preserve">Accordingly, it is not considered that the proposal would result in any measurable undue harm upon the existing amenities of any nearby residents. </w:t>
            </w:r>
          </w:p>
          <w:p w14:paraId="0DB485A3" w14:textId="48CABAA2" w:rsidR="00896BE6" w:rsidRPr="00C0704D" w:rsidRDefault="00896BE6" w:rsidP="00896BE6">
            <w:pPr>
              <w:contextualSpacing/>
              <w:jc w:val="both"/>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5005F5" w:rsidRDefault="00C0704D" w:rsidP="00896BE6">
            <w:pPr>
              <w:pStyle w:val="Header"/>
              <w:tabs>
                <w:tab w:val="clear" w:pos="4153"/>
                <w:tab w:val="clear" w:pos="8306"/>
              </w:tabs>
              <w:contextualSpacing/>
              <w:jc w:val="both"/>
              <w:rPr>
                <w:rFonts w:ascii="Calibri" w:hAnsi="Calibri"/>
                <w:b/>
                <w:szCs w:val="22"/>
              </w:rPr>
            </w:pPr>
            <w:r w:rsidRPr="005005F5">
              <w:rPr>
                <w:rFonts w:ascii="Calibri" w:hAnsi="Calibri"/>
                <w:b/>
                <w:szCs w:val="22"/>
              </w:rPr>
              <w:t>Visual Amenity/External Appearance:</w:t>
            </w:r>
          </w:p>
          <w:p w14:paraId="6F00E307" w14:textId="10126F71" w:rsidR="00896BE6" w:rsidRPr="005005F5" w:rsidRDefault="003C5B28" w:rsidP="00896BE6">
            <w:pPr>
              <w:contextualSpacing/>
              <w:jc w:val="both"/>
              <w:rPr>
                <w:rFonts w:asciiTheme="minorHAnsi" w:hAnsiTheme="minorHAnsi" w:cstheme="minorHAnsi"/>
              </w:rPr>
            </w:pPr>
            <w:r w:rsidRPr="005005F5">
              <w:t xml:space="preserve"> </w:t>
            </w:r>
          </w:p>
          <w:p w14:paraId="235D847D" w14:textId="77777777" w:rsidR="00896BE6" w:rsidRPr="00896BE6" w:rsidRDefault="00896BE6" w:rsidP="00896BE6">
            <w:pPr>
              <w:contextualSpacing/>
              <w:jc w:val="both"/>
              <w:rPr>
                <w:rFonts w:asciiTheme="minorHAnsi" w:hAnsiTheme="minorHAnsi" w:cstheme="minorHAnsi"/>
                <w:bCs/>
              </w:rPr>
            </w:pPr>
            <w:r w:rsidRPr="00896BE6">
              <w:rPr>
                <w:rFonts w:asciiTheme="minorHAnsi" w:hAnsiTheme="minorHAnsi" w:cstheme="minorHAnsi"/>
                <w:bCs/>
              </w:rPr>
              <w:t xml:space="preserve">Paragraph 135 of the National Planning Policy Framework states: </w:t>
            </w:r>
          </w:p>
          <w:p w14:paraId="55B076AA" w14:textId="77777777" w:rsidR="00896BE6" w:rsidRPr="00896BE6" w:rsidRDefault="00896BE6" w:rsidP="00896BE6">
            <w:pPr>
              <w:contextualSpacing/>
              <w:jc w:val="both"/>
              <w:rPr>
                <w:rFonts w:asciiTheme="minorHAnsi" w:hAnsiTheme="minorHAnsi" w:cstheme="minorHAnsi"/>
                <w:bCs/>
              </w:rPr>
            </w:pPr>
          </w:p>
          <w:p w14:paraId="6DC54DFE" w14:textId="77777777" w:rsidR="00896BE6" w:rsidRPr="00896BE6" w:rsidRDefault="00896BE6" w:rsidP="00896BE6">
            <w:pPr>
              <w:contextualSpacing/>
              <w:jc w:val="both"/>
              <w:rPr>
                <w:rFonts w:asciiTheme="minorHAnsi" w:hAnsiTheme="minorHAnsi" w:cstheme="minorHAnsi"/>
                <w:bCs/>
                <w:i/>
                <w:iCs/>
              </w:rPr>
            </w:pPr>
            <w:r w:rsidRPr="00896BE6">
              <w:rPr>
                <w:rFonts w:asciiTheme="minorHAnsi" w:hAnsiTheme="minorHAnsi" w:cstheme="minorHAnsi"/>
                <w:bCs/>
              </w:rPr>
              <w:t>‘</w:t>
            </w:r>
            <w:r w:rsidRPr="00896BE6">
              <w:rPr>
                <w:rFonts w:asciiTheme="minorHAnsi" w:hAnsiTheme="minorHAnsi" w:cstheme="minorHAnsi"/>
                <w:bCs/>
                <w:i/>
                <w:iCs/>
              </w:rPr>
              <w:t xml:space="preserve">Planning policies and decisions should ensure that developments are sympathetic to local character and history, including the surrounding built environment and landscape setting.’ </w:t>
            </w:r>
          </w:p>
          <w:p w14:paraId="454DFB3D" w14:textId="77777777" w:rsidR="00896BE6" w:rsidRPr="00896BE6" w:rsidRDefault="00896BE6" w:rsidP="00896BE6">
            <w:pPr>
              <w:contextualSpacing/>
              <w:jc w:val="both"/>
              <w:rPr>
                <w:rFonts w:asciiTheme="minorHAnsi" w:hAnsiTheme="minorHAnsi" w:cstheme="minorHAnsi"/>
                <w:bCs/>
                <w:i/>
                <w:iCs/>
              </w:rPr>
            </w:pPr>
          </w:p>
          <w:p w14:paraId="5BAC37A3" w14:textId="77777777" w:rsidR="00896BE6" w:rsidRPr="00896BE6" w:rsidRDefault="00896BE6" w:rsidP="00896BE6">
            <w:pPr>
              <w:contextualSpacing/>
              <w:jc w:val="both"/>
              <w:rPr>
                <w:rFonts w:asciiTheme="minorHAnsi" w:hAnsiTheme="minorHAnsi" w:cstheme="minorHAnsi"/>
                <w:bCs/>
              </w:rPr>
            </w:pPr>
            <w:r w:rsidRPr="00896BE6">
              <w:rPr>
                <w:rFonts w:asciiTheme="minorHAnsi" w:hAnsiTheme="minorHAnsi" w:cstheme="minorHAnsi"/>
                <w:bCs/>
              </w:rPr>
              <w:t xml:space="preserve">Ribble Valley Core Strategy Policy DMG1 provides specific guidance in relation to design and states: </w:t>
            </w:r>
          </w:p>
          <w:p w14:paraId="78DF584E" w14:textId="77777777" w:rsidR="00896BE6" w:rsidRPr="00896BE6" w:rsidRDefault="00896BE6" w:rsidP="00896BE6">
            <w:pPr>
              <w:contextualSpacing/>
              <w:jc w:val="both"/>
              <w:rPr>
                <w:rFonts w:asciiTheme="minorHAnsi" w:hAnsiTheme="minorHAnsi" w:cstheme="minorHAnsi"/>
                <w:bCs/>
              </w:rPr>
            </w:pPr>
          </w:p>
          <w:p w14:paraId="2B4B9E59" w14:textId="77777777" w:rsidR="00896BE6" w:rsidRPr="00896BE6" w:rsidRDefault="00896BE6" w:rsidP="00896BE6">
            <w:pPr>
              <w:contextualSpacing/>
              <w:jc w:val="both"/>
              <w:rPr>
                <w:rFonts w:asciiTheme="minorHAnsi" w:hAnsiTheme="minorHAnsi" w:cstheme="minorHAnsi"/>
                <w:bCs/>
                <w:i/>
                <w:iCs/>
              </w:rPr>
            </w:pPr>
            <w:r w:rsidRPr="00896BE6">
              <w:rPr>
                <w:rFonts w:asciiTheme="minorHAnsi" w:hAnsiTheme="minorHAnsi" w:cstheme="minorHAnsi"/>
                <w:bCs/>
              </w:rPr>
              <w:t>‘</w:t>
            </w:r>
            <w:r w:rsidRPr="00896BE6">
              <w:rPr>
                <w:rFonts w:asciiTheme="minorHAnsi" w:hAnsiTheme="minorHAnsi" w:cstheme="minorHAnsi"/>
                <w:bCs/>
                <w:i/>
                <w:iCs/>
              </w:rPr>
              <w:t xml:space="preserve">All development must 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 </w:t>
            </w:r>
          </w:p>
          <w:p w14:paraId="0F069979" w14:textId="77777777" w:rsidR="00896BE6" w:rsidRPr="00896BE6" w:rsidRDefault="00896BE6" w:rsidP="00896BE6">
            <w:pPr>
              <w:contextualSpacing/>
              <w:jc w:val="both"/>
              <w:rPr>
                <w:rFonts w:asciiTheme="minorHAnsi" w:hAnsiTheme="minorHAnsi" w:cstheme="minorHAnsi"/>
                <w:bCs/>
                <w:i/>
                <w:iCs/>
              </w:rPr>
            </w:pPr>
          </w:p>
          <w:p w14:paraId="1168E02F" w14:textId="28C69579" w:rsidR="00896BE6" w:rsidRDefault="00896BE6" w:rsidP="00896BE6">
            <w:pPr>
              <w:contextualSpacing/>
              <w:jc w:val="both"/>
              <w:rPr>
                <w:rFonts w:asciiTheme="minorHAnsi" w:hAnsiTheme="minorHAnsi" w:cstheme="minorHAnsi"/>
                <w:bCs/>
                <w:i/>
                <w:iCs/>
              </w:rPr>
            </w:pPr>
            <w:r w:rsidRPr="00896BE6">
              <w:rPr>
                <w:rFonts w:asciiTheme="minorHAnsi" w:hAnsiTheme="minorHAnsi" w:cstheme="minorHAnsi"/>
                <w:bCs/>
              </w:rPr>
              <w:t>Consideration must also be given to the Principle of Development, which under DMH3 is required to ensure that there would be ‘</w:t>
            </w:r>
            <w:r w:rsidRPr="00896BE6">
              <w:rPr>
                <w:rFonts w:asciiTheme="minorHAnsi" w:hAnsiTheme="minorHAnsi" w:cstheme="minorHAnsi"/>
                <w:bCs/>
                <w:i/>
                <w:iCs/>
              </w:rPr>
              <w:t xml:space="preserve">no adverse impact on the landscape in relation to the new dwelling.’ </w:t>
            </w:r>
          </w:p>
          <w:p w14:paraId="55FA198D" w14:textId="77777777" w:rsidR="00896BE6" w:rsidRDefault="00896BE6" w:rsidP="00896BE6">
            <w:pPr>
              <w:contextualSpacing/>
              <w:jc w:val="both"/>
              <w:rPr>
                <w:rFonts w:asciiTheme="minorHAnsi" w:hAnsiTheme="minorHAnsi" w:cstheme="minorHAnsi"/>
                <w:bCs/>
                <w:i/>
                <w:iCs/>
              </w:rPr>
            </w:pPr>
          </w:p>
          <w:p w14:paraId="128436A8" w14:textId="6FA5B7C0" w:rsidR="00896BE6" w:rsidRDefault="00896BE6" w:rsidP="00896BE6">
            <w:pPr>
              <w:contextualSpacing/>
              <w:jc w:val="both"/>
              <w:rPr>
                <w:rFonts w:asciiTheme="minorHAnsi" w:hAnsiTheme="minorHAnsi" w:cstheme="minorHAnsi"/>
                <w:bCs/>
              </w:rPr>
            </w:pPr>
            <w:r>
              <w:rPr>
                <w:rFonts w:asciiTheme="minorHAnsi" w:hAnsiTheme="minorHAnsi" w:cstheme="minorHAnsi"/>
                <w:bCs/>
              </w:rPr>
              <w:t xml:space="preserve">In this instance, the application dwelling forms a detached bungalow property set back from the main highway of Preston Road and accessed via a private access track. Though not highly visible from the roadside, a Public Right of Way runs along the access track and adjacent to the northern boundary of the proposal site with the principal elevation of the property facing into the public realm. The proposal would therefore be publicly viewable. </w:t>
            </w:r>
          </w:p>
          <w:p w14:paraId="63B99A04" w14:textId="77777777" w:rsidR="00E2367E" w:rsidRDefault="00E2367E" w:rsidP="00896BE6">
            <w:pPr>
              <w:contextualSpacing/>
              <w:jc w:val="both"/>
              <w:rPr>
                <w:rFonts w:asciiTheme="minorHAnsi" w:hAnsiTheme="minorHAnsi" w:cstheme="minorHAnsi"/>
                <w:bCs/>
              </w:rPr>
            </w:pPr>
          </w:p>
          <w:p w14:paraId="368AEDE1" w14:textId="2340404E" w:rsidR="00E2367E" w:rsidRDefault="00E2367E" w:rsidP="00E2367E">
            <w:pPr>
              <w:contextualSpacing/>
              <w:jc w:val="both"/>
              <w:rPr>
                <w:rFonts w:asciiTheme="minorHAnsi" w:hAnsiTheme="minorHAnsi" w:cstheme="minorHAnsi"/>
                <w:bCs/>
              </w:rPr>
            </w:pPr>
            <w:r>
              <w:rPr>
                <w:rFonts w:asciiTheme="minorHAnsi" w:hAnsiTheme="minorHAnsi" w:cstheme="minorHAnsi"/>
                <w:bCs/>
              </w:rPr>
              <w:t>A similar development was proposed under previous planning application 3/2024/0041 which was refused based on the visual impact arising from the</w:t>
            </w:r>
            <w:r w:rsidR="009639E8">
              <w:rPr>
                <w:rFonts w:asciiTheme="minorHAnsi" w:hAnsiTheme="minorHAnsi" w:cstheme="minorHAnsi"/>
                <w:bCs/>
              </w:rPr>
              <w:t xml:space="preserve"> overall design and external materials of the proposed dwelling which failed to take account of site characteristics and local vernacular. </w:t>
            </w:r>
          </w:p>
          <w:p w14:paraId="34107796" w14:textId="77777777" w:rsidR="00C36917" w:rsidRDefault="00C36917" w:rsidP="00E2367E">
            <w:pPr>
              <w:contextualSpacing/>
              <w:jc w:val="both"/>
              <w:rPr>
                <w:rFonts w:asciiTheme="minorHAnsi" w:hAnsiTheme="minorHAnsi" w:cstheme="minorHAnsi"/>
                <w:bCs/>
              </w:rPr>
            </w:pPr>
          </w:p>
          <w:p w14:paraId="084EF49F" w14:textId="0D61FDBB" w:rsidR="00C36917" w:rsidRDefault="00C36917" w:rsidP="00E2367E">
            <w:pPr>
              <w:contextualSpacing/>
              <w:jc w:val="both"/>
              <w:rPr>
                <w:rFonts w:asciiTheme="minorHAnsi" w:hAnsiTheme="minorHAnsi" w:cstheme="minorHAnsi"/>
                <w:bCs/>
              </w:rPr>
            </w:pPr>
            <w:r>
              <w:rPr>
                <w:rFonts w:asciiTheme="minorHAnsi" w:hAnsiTheme="minorHAnsi" w:cstheme="minorHAnsi"/>
                <w:bCs/>
              </w:rPr>
              <w:lastRenderedPageBreak/>
              <w:t xml:space="preserve">The original scheme comprised a varied range of roof forms, including a twin reverse gable </w:t>
            </w:r>
            <w:r w:rsidR="005E0468">
              <w:rPr>
                <w:rFonts w:asciiTheme="minorHAnsi" w:hAnsiTheme="minorHAnsi" w:cstheme="minorHAnsi"/>
                <w:bCs/>
              </w:rPr>
              <w:t>principal</w:t>
            </w:r>
            <w:r>
              <w:rPr>
                <w:rFonts w:asciiTheme="minorHAnsi" w:hAnsiTheme="minorHAnsi" w:cstheme="minorHAnsi"/>
                <w:bCs/>
              </w:rPr>
              <w:t xml:space="preserve"> elevation and numerous flat roof elements of different heights, resulting in a cluttered and largely illegible roof scape</w:t>
            </w:r>
            <w:r w:rsidR="005E0468">
              <w:rPr>
                <w:rFonts w:asciiTheme="minorHAnsi" w:hAnsiTheme="minorHAnsi" w:cstheme="minorHAnsi"/>
                <w:bCs/>
              </w:rPr>
              <w:t xml:space="preserve">. This, together with the proposed addition of timber cladding was considered to result in a proposal of an overly complex and suburban character. </w:t>
            </w:r>
          </w:p>
          <w:p w14:paraId="1CB4B506" w14:textId="77777777" w:rsidR="00E2367E" w:rsidRDefault="00E2367E" w:rsidP="00E2367E">
            <w:pPr>
              <w:contextualSpacing/>
              <w:jc w:val="both"/>
              <w:rPr>
                <w:rFonts w:asciiTheme="minorHAnsi" w:hAnsiTheme="minorHAnsi" w:cstheme="minorHAnsi"/>
                <w:bCs/>
              </w:rPr>
            </w:pPr>
          </w:p>
          <w:p w14:paraId="22888019" w14:textId="01C3DAB0" w:rsidR="00AC1DD3" w:rsidRDefault="00E2367E" w:rsidP="00E2367E">
            <w:pPr>
              <w:contextualSpacing/>
              <w:jc w:val="both"/>
              <w:rPr>
                <w:rFonts w:asciiTheme="minorHAnsi" w:hAnsiTheme="minorHAnsi" w:cstheme="minorHAnsi"/>
                <w:bCs/>
              </w:rPr>
            </w:pPr>
            <w:r>
              <w:rPr>
                <w:rFonts w:asciiTheme="minorHAnsi" w:hAnsiTheme="minorHAnsi" w:cstheme="minorHAnsi"/>
                <w:bCs/>
              </w:rPr>
              <w:t>Amendments have been made to the design of the</w:t>
            </w:r>
            <w:r w:rsidR="005E0468">
              <w:rPr>
                <w:rFonts w:asciiTheme="minorHAnsi" w:hAnsiTheme="minorHAnsi" w:cstheme="minorHAnsi"/>
                <w:bCs/>
              </w:rPr>
              <w:t xml:space="preserve"> previously refused</w:t>
            </w:r>
            <w:r>
              <w:rPr>
                <w:rFonts w:asciiTheme="minorHAnsi" w:hAnsiTheme="minorHAnsi" w:cstheme="minorHAnsi"/>
                <w:bCs/>
              </w:rPr>
              <w:t xml:space="preserve"> development</w:t>
            </w:r>
            <w:r w:rsidR="005E0468">
              <w:rPr>
                <w:rFonts w:asciiTheme="minorHAnsi" w:hAnsiTheme="minorHAnsi" w:cstheme="minorHAnsi"/>
                <w:bCs/>
              </w:rPr>
              <w:t xml:space="preserve">, </w:t>
            </w:r>
            <w:r>
              <w:rPr>
                <w:rFonts w:asciiTheme="minorHAnsi" w:hAnsiTheme="minorHAnsi" w:cstheme="minorHAnsi"/>
                <w:bCs/>
              </w:rPr>
              <w:t>includ</w:t>
            </w:r>
            <w:r w:rsidR="005E0468">
              <w:rPr>
                <w:rFonts w:asciiTheme="minorHAnsi" w:hAnsiTheme="minorHAnsi" w:cstheme="minorHAnsi"/>
                <w:bCs/>
              </w:rPr>
              <w:t>ing</w:t>
            </w:r>
            <w:r>
              <w:rPr>
                <w:rFonts w:asciiTheme="minorHAnsi" w:hAnsiTheme="minorHAnsi" w:cstheme="minorHAnsi"/>
                <w:bCs/>
              </w:rPr>
              <w:t xml:space="preserve"> the omission of </w:t>
            </w:r>
            <w:r w:rsidR="003A75EC">
              <w:rPr>
                <w:rFonts w:asciiTheme="minorHAnsi" w:hAnsiTheme="minorHAnsi" w:cstheme="minorHAnsi"/>
                <w:bCs/>
              </w:rPr>
              <w:t>the</w:t>
            </w:r>
            <w:r w:rsidR="005E0468">
              <w:rPr>
                <w:rFonts w:asciiTheme="minorHAnsi" w:hAnsiTheme="minorHAnsi" w:cstheme="minorHAnsi"/>
                <w:bCs/>
              </w:rPr>
              <w:t xml:space="preserve"> proposed two-storey flat roof element and single storey flat roof rear extension. The height of the proposed link extension and front porch has also been reduced to tie in with the eaves of the pitched roof elements of the dwellinghouse. These amendments have subsequently reduced the visual complexity of the previously proposed roof scape</w:t>
            </w:r>
            <w:r w:rsidR="00AC1DD3">
              <w:rPr>
                <w:rFonts w:asciiTheme="minorHAnsi" w:hAnsiTheme="minorHAnsi" w:cstheme="minorHAnsi"/>
                <w:bCs/>
              </w:rPr>
              <w:t xml:space="preserve">, appearing more in keeping with the modest and simple nature of the design utilised by the existing dwellinghouse as well as the properties located within the immediate vicinity of the proposal site. </w:t>
            </w:r>
          </w:p>
          <w:p w14:paraId="494BD4BA" w14:textId="77777777" w:rsidR="00AC1DD3" w:rsidRDefault="00AC1DD3" w:rsidP="00E2367E">
            <w:pPr>
              <w:contextualSpacing/>
              <w:jc w:val="both"/>
              <w:rPr>
                <w:rFonts w:asciiTheme="minorHAnsi" w:hAnsiTheme="minorHAnsi" w:cstheme="minorHAnsi"/>
                <w:bCs/>
              </w:rPr>
            </w:pPr>
          </w:p>
          <w:p w14:paraId="1B852DC6" w14:textId="3E2C443A" w:rsidR="005F074C" w:rsidRDefault="00AC1DD3" w:rsidP="00E2367E">
            <w:pPr>
              <w:contextualSpacing/>
              <w:jc w:val="both"/>
              <w:rPr>
                <w:rFonts w:asciiTheme="minorHAnsi" w:hAnsiTheme="minorHAnsi" w:cstheme="minorHAnsi"/>
                <w:bCs/>
              </w:rPr>
            </w:pPr>
            <w:r>
              <w:rPr>
                <w:rFonts w:asciiTheme="minorHAnsi" w:hAnsiTheme="minorHAnsi" w:cstheme="minorHAnsi"/>
                <w:bCs/>
              </w:rPr>
              <w:t xml:space="preserve">The dwelling proposed under this application would also be predominantly detailed in traditional features, including stone and render to the external elevations and slate roof tiles, all of which would be in keeping with the vernacular of dwellings and other built form within the locality. The dwellinghouse would still incorporate large extents of modern glazing, however </w:t>
            </w:r>
            <w:r w:rsidR="00015468">
              <w:rPr>
                <w:rFonts w:asciiTheme="minorHAnsi" w:hAnsiTheme="minorHAnsi" w:cstheme="minorHAnsi"/>
                <w:bCs/>
              </w:rPr>
              <w:t xml:space="preserve">traditional border treatments would be incorporated, and </w:t>
            </w:r>
            <w:r>
              <w:rPr>
                <w:rFonts w:asciiTheme="minorHAnsi" w:hAnsiTheme="minorHAnsi" w:cstheme="minorHAnsi"/>
                <w:bCs/>
              </w:rPr>
              <w:t xml:space="preserve">it is not anticipated that this would result in any significant adverse impact upon the surrounding rural countryside landscape that would warrant the refusal of the application in this particular instance. </w:t>
            </w:r>
          </w:p>
          <w:p w14:paraId="282E71E4" w14:textId="77777777" w:rsidR="00AC1DD3" w:rsidRDefault="00AC1DD3" w:rsidP="00E2367E">
            <w:pPr>
              <w:contextualSpacing/>
              <w:jc w:val="both"/>
              <w:rPr>
                <w:rFonts w:asciiTheme="minorHAnsi" w:hAnsiTheme="minorHAnsi" w:cstheme="minorHAnsi"/>
                <w:bCs/>
              </w:rPr>
            </w:pPr>
          </w:p>
          <w:p w14:paraId="1704E958" w14:textId="4FC56399" w:rsidR="00AC1DD3" w:rsidRDefault="00AC1DD3" w:rsidP="00E2367E">
            <w:pPr>
              <w:contextualSpacing/>
              <w:jc w:val="both"/>
              <w:rPr>
                <w:rFonts w:asciiTheme="minorHAnsi" w:hAnsiTheme="minorHAnsi" w:cstheme="minorHAnsi"/>
                <w:bCs/>
              </w:rPr>
            </w:pPr>
            <w:r>
              <w:rPr>
                <w:rFonts w:asciiTheme="minorHAnsi" w:hAnsiTheme="minorHAnsi" w:cstheme="minorHAnsi"/>
                <w:bCs/>
              </w:rPr>
              <w:t xml:space="preserve">On balance, it is therefore not considered that the proposed scheme would be significantly harmful to the visual amenities of the immediate or wider landscape and thereby satisfies the requirements of Paragraph 135 of the National Planning Policy Framework and Policy DMG1 and DMH3 of the Ribble Valley Core Strategy. </w:t>
            </w:r>
          </w:p>
          <w:p w14:paraId="10A3648A" w14:textId="48BA8030" w:rsidR="00896BE6" w:rsidRPr="00065833" w:rsidRDefault="00896BE6" w:rsidP="005005F5">
            <w:pPr>
              <w:contextualSpacing/>
              <w:jc w:val="both"/>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1E47E1A" w14:textId="77777777" w:rsidR="00A74F22" w:rsidRDefault="009D238F"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An adequate level of off-road parking for the type and scale of development proposed would be retained and as such, the proposal is considered acceptable in respect to highway safety and parking. </w:t>
            </w:r>
          </w:p>
          <w:p w14:paraId="337694ED" w14:textId="6C6B61F8" w:rsidR="009D238F" w:rsidRPr="009D238F" w:rsidRDefault="009D238F"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CA1EB5">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CA1EB5">
            <w:pPr>
              <w:contextualSpacing/>
              <w:jc w:val="both"/>
              <w:rPr>
                <w:rFonts w:ascii="Calibri" w:hAnsi="Calibri"/>
                <w:b/>
                <w:szCs w:val="22"/>
              </w:rPr>
            </w:pPr>
          </w:p>
          <w:p w14:paraId="4286F5B5" w14:textId="77777777" w:rsidR="00CA1EB5" w:rsidRDefault="009D238F" w:rsidP="00CA1EB5">
            <w:pPr>
              <w:contextualSpacing/>
              <w:jc w:val="both"/>
              <w:rPr>
                <w:rFonts w:ascii="Calibri" w:hAnsi="Calibri"/>
                <w:bCs/>
                <w:szCs w:val="22"/>
              </w:rPr>
            </w:pPr>
            <w:r>
              <w:rPr>
                <w:rFonts w:ascii="Calibri" w:hAnsi="Calibri"/>
                <w:bCs/>
                <w:szCs w:val="22"/>
              </w:rPr>
              <w:t>A Preliminary Bat Roost Assessment Report has been submitted with the application dated 23</w:t>
            </w:r>
            <w:r w:rsidRPr="009D238F">
              <w:rPr>
                <w:rFonts w:ascii="Calibri" w:hAnsi="Calibri"/>
                <w:bCs/>
                <w:szCs w:val="22"/>
                <w:vertAlign w:val="superscript"/>
              </w:rPr>
              <w:t>rd</w:t>
            </w:r>
            <w:r>
              <w:rPr>
                <w:rFonts w:ascii="Calibri" w:hAnsi="Calibri"/>
                <w:bCs/>
                <w:szCs w:val="22"/>
              </w:rPr>
              <w:t xml:space="preserve"> August 2024. The report concludes that no evidence was recorded to suggest bats were roosting within the building and no bats were observed or recorded using the building for roosting. As such, the property is considered to be of negligible potential for roosting bats and the survey effort is considered to be reasonable to assess the roost potential of the building with no further survey work being deemed necessary. </w:t>
            </w:r>
          </w:p>
          <w:p w14:paraId="11064FF0" w14:textId="77777777" w:rsidR="00CA1EB5" w:rsidRDefault="00CA1EB5" w:rsidP="00CA1EB5">
            <w:pPr>
              <w:contextualSpacing/>
              <w:jc w:val="both"/>
              <w:rPr>
                <w:rFonts w:ascii="Calibri" w:hAnsi="Calibri"/>
                <w:bCs/>
                <w:szCs w:val="22"/>
              </w:rPr>
            </w:pPr>
          </w:p>
          <w:p w14:paraId="4B41DB36" w14:textId="224C8C47" w:rsidR="009D238F" w:rsidRDefault="009D238F" w:rsidP="00CA1EB5">
            <w:pPr>
              <w:contextualSpacing/>
              <w:jc w:val="both"/>
              <w:rPr>
                <w:rFonts w:ascii="Calibri" w:hAnsi="Calibri"/>
                <w:bCs/>
                <w:szCs w:val="22"/>
              </w:rPr>
            </w:pPr>
            <w:r>
              <w:rPr>
                <w:rFonts w:ascii="Calibri" w:hAnsi="Calibri"/>
                <w:bCs/>
                <w:szCs w:val="22"/>
              </w:rPr>
              <w:t xml:space="preserve">Despite this, </w:t>
            </w:r>
            <w:r w:rsidR="00CA1EB5">
              <w:rPr>
                <w:rFonts w:ascii="Calibri" w:hAnsi="Calibri"/>
                <w:bCs/>
                <w:szCs w:val="22"/>
              </w:rPr>
              <w:t xml:space="preserve">a Precautionary Method Statement and Reasonable Avoidance Measures have been included within the report in order to minimise or remove any potential disturbance to roosting bats. The measures outlined within this section of the report have been secured by way of a planning condition. </w:t>
            </w:r>
          </w:p>
          <w:p w14:paraId="64C906D3" w14:textId="77777777" w:rsidR="00050E17" w:rsidRDefault="00050E17" w:rsidP="00CA1EB5">
            <w:pPr>
              <w:contextualSpacing/>
              <w:jc w:val="both"/>
              <w:rPr>
                <w:rFonts w:ascii="Calibri" w:hAnsi="Calibri"/>
                <w:bCs/>
                <w:szCs w:val="22"/>
              </w:rPr>
            </w:pPr>
          </w:p>
          <w:p w14:paraId="1CC7BA01" w14:textId="5766FCE0" w:rsidR="00050E17" w:rsidRPr="009D238F" w:rsidRDefault="00050E17" w:rsidP="00CA1EB5">
            <w:pPr>
              <w:contextualSpacing/>
              <w:jc w:val="both"/>
              <w:rPr>
                <w:rFonts w:ascii="Calibri" w:hAnsi="Calibri"/>
                <w:bCs/>
                <w:szCs w:val="22"/>
              </w:rPr>
            </w:pPr>
            <w:r>
              <w:rPr>
                <w:rFonts w:ascii="Calibri" w:hAnsi="Calibri"/>
                <w:bCs/>
                <w:szCs w:val="22"/>
              </w:rPr>
              <w:t>Supporting information demonstrates that the proposal is exempt from having to provide the mandatory Biodiversity Net Gain.</w:t>
            </w:r>
          </w:p>
          <w:p w14:paraId="6337C4D8" w14:textId="4C7BCFE2" w:rsidR="00AF2180" w:rsidRDefault="00AF2180" w:rsidP="00CA1EB5">
            <w:pPr>
              <w:contextualSpacing/>
              <w:jc w:val="both"/>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DCC79E1"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CA1EB5">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A1EB5"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A1EB5" w:rsidRPr="00D2449B" w:rsidRDefault="00CA1EB5" w:rsidP="00CA1EB5">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9C41832" w:rsidR="00CA1EB5" w:rsidRPr="00D2449B" w:rsidRDefault="00CA1EB5" w:rsidP="00CA1EB5">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2307B6"/>
    <w:multiLevelType w:val="hybridMultilevel"/>
    <w:tmpl w:val="08DC1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E3828CD"/>
    <w:multiLevelType w:val="hybridMultilevel"/>
    <w:tmpl w:val="F458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144615875">
    <w:abstractNumId w:val="0"/>
  </w:num>
  <w:num w:numId="3" w16cid:durableId="638726613">
    <w:abstractNumId w:val="2"/>
  </w:num>
  <w:num w:numId="4" w16cid:durableId="1384138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468"/>
    <w:rsid w:val="00050E17"/>
    <w:rsid w:val="00056599"/>
    <w:rsid w:val="00065833"/>
    <w:rsid w:val="000A6867"/>
    <w:rsid w:val="000B5CB5"/>
    <w:rsid w:val="00130035"/>
    <w:rsid w:val="001A2F35"/>
    <w:rsid w:val="001D4F7A"/>
    <w:rsid w:val="00250879"/>
    <w:rsid w:val="00282E3A"/>
    <w:rsid w:val="0029334A"/>
    <w:rsid w:val="002954E5"/>
    <w:rsid w:val="00295A61"/>
    <w:rsid w:val="002A01CF"/>
    <w:rsid w:val="002C5DEA"/>
    <w:rsid w:val="002C6277"/>
    <w:rsid w:val="002F2580"/>
    <w:rsid w:val="00321B6E"/>
    <w:rsid w:val="0035731D"/>
    <w:rsid w:val="00375556"/>
    <w:rsid w:val="00381086"/>
    <w:rsid w:val="003A75EC"/>
    <w:rsid w:val="003C5B28"/>
    <w:rsid w:val="00406EBD"/>
    <w:rsid w:val="004301CA"/>
    <w:rsid w:val="00440CB6"/>
    <w:rsid w:val="0046548C"/>
    <w:rsid w:val="004947BB"/>
    <w:rsid w:val="00497407"/>
    <w:rsid w:val="004A5EA9"/>
    <w:rsid w:val="004C2434"/>
    <w:rsid w:val="004E1D72"/>
    <w:rsid w:val="004F0649"/>
    <w:rsid w:val="005005F5"/>
    <w:rsid w:val="00510FA2"/>
    <w:rsid w:val="005127C7"/>
    <w:rsid w:val="00526547"/>
    <w:rsid w:val="0052670F"/>
    <w:rsid w:val="00556ECD"/>
    <w:rsid w:val="0059215A"/>
    <w:rsid w:val="005C1728"/>
    <w:rsid w:val="005E0468"/>
    <w:rsid w:val="005E1C6C"/>
    <w:rsid w:val="005E65DF"/>
    <w:rsid w:val="005F074C"/>
    <w:rsid w:val="005F1A36"/>
    <w:rsid w:val="00610DE6"/>
    <w:rsid w:val="00665D63"/>
    <w:rsid w:val="00692B60"/>
    <w:rsid w:val="00696B04"/>
    <w:rsid w:val="006A71AD"/>
    <w:rsid w:val="006B3337"/>
    <w:rsid w:val="006C2BFA"/>
    <w:rsid w:val="006D6B20"/>
    <w:rsid w:val="006F6849"/>
    <w:rsid w:val="0070054B"/>
    <w:rsid w:val="00761D2C"/>
    <w:rsid w:val="00773A66"/>
    <w:rsid w:val="00776AE2"/>
    <w:rsid w:val="007959BE"/>
    <w:rsid w:val="007B3CB4"/>
    <w:rsid w:val="007C791C"/>
    <w:rsid w:val="007D0CEC"/>
    <w:rsid w:val="007D7DF4"/>
    <w:rsid w:val="007E0D23"/>
    <w:rsid w:val="007F16D6"/>
    <w:rsid w:val="00811771"/>
    <w:rsid w:val="00824DB6"/>
    <w:rsid w:val="008358EE"/>
    <w:rsid w:val="00837F4F"/>
    <w:rsid w:val="008430D2"/>
    <w:rsid w:val="008542DE"/>
    <w:rsid w:val="00877C8F"/>
    <w:rsid w:val="00896BE6"/>
    <w:rsid w:val="008A28C8"/>
    <w:rsid w:val="008D26AB"/>
    <w:rsid w:val="008E53C9"/>
    <w:rsid w:val="008E5670"/>
    <w:rsid w:val="00911469"/>
    <w:rsid w:val="00946061"/>
    <w:rsid w:val="009639E8"/>
    <w:rsid w:val="009775AC"/>
    <w:rsid w:val="009C1F22"/>
    <w:rsid w:val="009D238F"/>
    <w:rsid w:val="009F4443"/>
    <w:rsid w:val="00A42E82"/>
    <w:rsid w:val="00A43CDE"/>
    <w:rsid w:val="00A579BB"/>
    <w:rsid w:val="00A63D55"/>
    <w:rsid w:val="00A74F22"/>
    <w:rsid w:val="00A81CCC"/>
    <w:rsid w:val="00A95D89"/>
    <w:rsid w:val="00AC1DD3"/>
    <w:rsid w:val="00AF2180"/>
    <w:rsid w:val="00B5479B"/>
    <w:rsid w:val="00B9298E"/>
    <w:rsid w:val="00B93EB5"/>
    <w:rsid w:val="00BD17F5"/>
    <w:rsid w:val="00BD3F03"/>
    <w:rsid w:val="00C0704D"/>
    <w:rsid w:val="00C25722"/>
    <w:rsid w:val="00C36917"/>
    <w:rsid w:val="00C618DB"/>
    <w:rsid w:val="00CA1EB5"/>
    <w:rsid w:val="00CC0B80"/>
    <w:rsid w:val="00D01638"/>
    <w:rsid w:val="00D102CB"/>
    <w:rsid w:val="00D11007"/>
    <w:rsid w:val="00D17EB1"/>
    <w:rsid w:val="00D2449B"/>
    <w:rsid w:val="00D53678"/>
    <w:rsid w:val="00D54E67"/>
    <w:rsid w:val="00DB1FA4"/>
    <w:rsid w:val="00DD3288"/>
    <w:rsid w:val="00DD62F6"/>
    <w:rsid w:val="00DE1FB0"/>
    <w:rsid w:val="00E2367E"/>
    <w:rsid w:val="00E31FE2"/>
    <w:rsid w:val="00E42F2B"/>
    <w:rsid w:val="00E46243"/>
    <w:rsid w:val="00E66534"/>
    <w:rsid w:val="00E70027"/>
    <w:rsid w:val="00E72F6C"/>
    <w:rsid w:val="00EA09F9"/>
    <w:rsid w:val="00EC23C7"/>
    <w:rsid w:val="00ED00B7"/>
    <w:rsid w:val="00EF44E6"/>
    <w:rsid w:val="00F056A7"/>
    <w:rsid w:val="00F4754B"/>
    <w:rsid w:val="00FD6AE3"/>
    <w:rsid w:val="00FF5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89262">
      <w:bodyDiv w:val="1"/>
      <w:marLeft w:val="0"/>
      <w:marRight w:val="0"/>
      <w:marTop w:val="0"/>
      <w:marBottom w:val="0"/>
      <w:divBdr>
        <w:top w:val="none" w:sz="0" w:space="0" w:color="auto"/>
        <w:left w:val="none" w:sz="0" w:space="0" w:color="auto"/>
        <w:bottom w:val="none" w:sz="0" w:space="0" w:color="auto"/>
        <w:right w:val="none" w:sz="0" w:space="0" w:color="auto"/>
      </w:divBdr>
    </w:div>
    <w:div w:id="643583691">
      <w:bodyDiv w:val="1"/>
      <w:marLeft w:val="0"/>
      <w:marRight w:val="0"/>
      <w:marTop w:val="0"/>
      <w:marBottom w:val="0"/>
      <w:divBdr>
        <w:top w:val="none" w:sz="0" w:space="0" w:color="auto"/>
        <w:left w:val="none" w:sz="0" w:space="0" w:color="auto"/>
        <w:bottom w:val="none" w:sz="0" w:space="0" w:color="auto"/>
        <w:right w:val="none" w:sz="0" w:space="0" w:color="auto"/>
      </w:divBdr>
    </w:div>
    <w:div w:id="1037050865">
      <w:bodyDiv w:val="1"/>
      <w:marLeft w:val="0"/>
      <w:marRight w:val="0"/>
      <w:marTop w:val="0"/>
      <w:marBottom w:val="0"/>
      <w:divBdr>
        <w:top w:val="none" w:sz="0" w:space="0" w:color="auto"/>
        <w:left w:val="none" w:sz="0" w:space="0" w:color="auto"/>
        <w:bottom w:val="none" w:sz="0" w:space="0" w:color="auto"/>
        <w:right w:val="none" w:sz="0" w:space="0" w:color="auto"/>
      </w:divBdr>
    </w:div>
    <w:div w:id="1744833286">
      <w:bodyDiv w:val="1"/>
      <w:marLeft w:val="0"/>
      <w:marRight w:val="0"/>
      <w:marTop w:val="0"/>
      <w:marBottom w:val="0"/>
      <w:divBdr>
        <w:top w:val="none" w:sz="0" w:space="0" w:color="auto"/>
        <w:left w:val="none" w:sz="0" w:space="0" w:color="auto"/>
        <w:bottom w:val="none" w:sz="0" w:space="0" w:color="auto"/>
        <w:right w:val="none" w:sz="0" w:space="0" w:color="auto"/>
      </w:divBdr>
    </w:div>
    <w:div w:id="1785226902">
      <w:bodyDiv w:val="1"/>
      <w:marLeft w:val="0"/>
      <w:marRight w:val="0"/>
      <w:marTop w:val="0"/>
      <w:marBottom w:val="0"/>
      <w:divBdr>
        <w:top w:val="none" w:sz="0" w:space="0" w:color="auto"/>
        <w:left w:val="none" w:sz="0" w:space="0" w:color="auto"/>
        <w:bottom w:val="none" w:sz="0" w:space="0" w:color="auto"/>
        <w:right w:val="none" w:sz="0" w:space="0" w:color="auto"/>
      </w:divBdr>
    </w:div>
    <w:div w:id="194565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2024-10-11T14:48:00Z</cp:lastPrinted>
  <dcterms:created xsi:type="dcterms:W3CDTF">2024-10-11T14:53:00Z</dcterms:created>
  <dcterms:modified xsi:type="dcterms:W3CDTF">2024-10-11T14:53:00Z</dcterms:modified>
</cp:coreProperties>
</file>