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D376A87" w:rsidR="00837F4F" w:rsidRPr="00D2449B" w:rsidRDefault="00DB6B0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4A77BF5" w:rsidR="00837F4F" w:rsidRPr="00D2449B" w:rsidRDefault="0011103A" w:rsidP="00D2449B">
            <w:pPr>
              <w:jc w:val="center"/>
              <w:rPr>
                <w:rFonts w:ascii="Calibri" w:hAnsi="Calibri"/>
                <w:b/>
                <w:szCs w:val="22"/>
              </w:rPr>
            </w:pPr>
            <w:r>
              <w:rPr>
                <w:rFonts w:ascii="Calibri" w:hAnsi="Calibri"/>
                <w:b/>
                <w:szCs w:val="22"/>
              </w:rPr>
              <w:t>14/10/24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ACD5942" w:rsidR="004A5EA9" w:rsidRPr="005F1A36" w:rsidRDefault="00DB6B08" w:rsidP="008542DE">
            <w:pPr>
              <w:rPr>
                <w:rFonts w:ascii="Calibri" w:hAnsi="Calibri"/>
                <w:szCs w:val="22"/>
              </w:rPr>
            </w:pPr>
            <w:r>
              <w:rPr>
                <w:rFonts w:ascii="Calibri" w:hAnsi="Calibri"/>
                <w:szCs w:val="22"/>
              </w:rPr>
              <w:t>3/2024/0681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19AAF32" w:rsidR="00824DB6" w:rsidRPr="00C0704D" w:rsidRDefault="00DB6B0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A26044" w:rsidR="00824DB6" w:rsidRPr="00C0704D" w:rsidRDefault="00DB6B0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455D91" w:rsidR="004A5EA9" w:rsidRPr="00250879" w:rsidRDefault="00DB6B08" w:rsidP="00811771">
            <w:pPr>
              <w:rPr>
                <w:rFonts w:ascii="Calibri" w:hAnsi="Calibri"/>
                <w:color w:val="548DD4" w:themeColor="text2" w:themeTint="99"/>
                <w:szCs w:val="22"/>
              </w:rPr>
            </w:pPr>
            <w:r w:rsidRPr="00DB6B0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EDA5A8" w:rsidR="004A5EA9" w:rsidRPr="002C6277" w:rsidRDefault="00DB6B08">
            <w:pPr>
              <w:rPr>
                <w:rFonts w:ascii="Calibri" w:hAnsi="Calibri"/>
                <w:szCs w:val="22"/>
              </w:rPr>
            </w:pPr>
            <w:r>
              <w:rPr>
                <w:rFonts w:ascii="Calibri" w:hAnsi="Calibri"/>
                <w:szCs w:val="22"/>
              </w:rPr>
              <w:t xml:space="preserve">Lawful development Certificate for existing development involving: 1. The change of use of former agricultural land to the rear of 1 Proctor Fold to garden and associated extension of residential curtilage, in use for over 10 years. 2. The conversion and change of sue of the former garage to annex completed more than 4 years ago. 3. The lawfulness of the extension to the side of the former garage as part of the residential unit, completed more than 4 years ago.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D81E4B7" w:rsidR="002A01CF" w:rsidRPr="002C6277" w:rsidRDefault="00DB6B08" w:rsidP="00A42E82">
            <w:pPr>
              <w:rPr>
                <w:rFonts w:ascii="Calibri" w:hAnsi="Calibri"/>
                <w:szCs w:val="22"/>
              </w:rPr>
            </w:pPr>
            <w:r>
              <w:rPr>
                <w:rFonts w:ascii="Calibri" w:hAnsi="Calibri"/>
                <w:szCs w:val="22"/>
              </w:rPr>
              <w:t>1 Proctor Fold, Osbaldeston Lane, Osbaldeston, BB2 7LU</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F06E9F" w:rsidR="002A01CF" w:rsidRPr="00295A61" w:rsidRDefault="00DB6B08">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833088" w:rsidR="002A01CF" w:rsidRPr="00DB6B08" w:rsidRDefault="00DB6B08">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4F3D5EA" w:rsidR="00C0704D" w:rsidRPr="00C0704D" w:rsidRDefault="00DB6B08"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41C810" w14:textId="77777777" w:rsidR="00DB6B08" w:rsidRPr="00DB6B08" w:rsidRDefault="00DB6B08" w:rsidP="00DB6B08">
            <w:pPr>
              <w:rPr>
                <w:rFonts w:ascii="Calibri" w:hAnsi="Calibri"/>
                <w:bCs/>
                <w:szCs w:val="22"/>
              </w:rPr>
            </w:pPr>
            <w:r w:rsidRPr="00DB6B08">
              <w:rPr>
                <w:rFonts w:ascii="Calibri" w:hAnsi="Calibri"/>
                <w:bCs/>
                <w:szCs w:val="22"/>
              </w:rPr>
              <w:t>Section 171(B) of the Town and Country Planning Act 1990.</w:t>
            </w:r>
          </w:p>
          <w:p w14:paraId="6C4C318E" w14:textId="77777777" w:rsidR="008542DE" w:rsidRPr="00D2449B" w:rsidRDefault="008542DE" w:rsidP="00DB6B08">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479EAC93" w:rsidR="00406EBD" w:rsidRDefault="00DB6B08" w:rsidP="009C1F22">
            <w:pPr>
              <w:pStyle w:val="PLANNING"/>
              <w:rPr>
                <w:rFonts w:ascii="Calibri" w:hAnsi="Calibri"/>
                <w:szCs w:val="22"/>
              </w:rPr>
            </w:pPr>
            <w:r>
              <w:rPr>
                <w:rFonts w:ascii="Calibri" w:hAnsi="Calibri"/>
                <w:szCs w:val="22"/>
              </w:rPr>
              <w:t xml:space="preserve">3/2023/0980: Lawful Development Certificate for regularisation of use of double garage as one dwelling (Refused). </w:t>
            </w:r>
          </w:p>
          <w:p w14:paraId="577CB36C" w14:textId="77777777" w:rsidR="00DB6B08" w:rsidRDefault="00DB6B08" w:rsidP="009C1F22">
            <w:pPr>
              <w:pStyle w:val="PLANNING"/>
              <w:rPr>
                <w:rFonts w:ascii="Calibri" w:hAnsi="Calibri"/>
                <w:szCs w:val="22"/>
              </w:rPr>
            </w:pPr>
          </w:p>
          <w:p w14:paraId="0979B878" w14:textId="77777777" w:rsidR="00DB6B08" w:rsidRPr="00DB6B08" w:rsidRDefault="00DB6B08" w:rsidP="00DB6B08">
            <w:pPr>
              <w:pStyle w:val="PLANNING"/>
              <w:rPr>
                <w:rFonts w:ascii="Calibri" w:hAnsi="Calibri"/>
                <w:szCs w:val="22"/>
              </w:rPr>
            </w:pPr>
            <w:r w:rsidRPr="00DB6B08">
              <w:rPr>
                <w:rFonts w:ascii="Calibri" w:hAnsi="Calibri"/>
                <w:szCs w:val="22"/>
              </w:rPr>
              <w:t xml:space="preserve">3/2004/1130: Proposed double garage to replace existing 2no. single garages (Approved). </w:t>
            </w:r>
          </w:p>
          <w:p w14:paraId="1DA69130" w14:textId="77777777" w:rsidR="00DB6B08" w:rsidRPr="00DB6B08" w:rsidRDefault="00DB6B08" w:rsidP="00DB6B08">
            <w:pPr>
              <w:pStyle w:val="PLANNING"/>
              <w:rPr>
                <w:rFonts w:ascii="Calibri" w:hAnsi="Calibri"/>
                <w:szCs w:val="22"/>
              </w:rPr>
            </w:pPr>
          </w:p>
          <w:p w14:paraId="10E20783" w14:textId="2847BDA3" w:rsidR="00DB6B08" w:rsidRPr="00056599" w:rsidRDefault="00DB6B08" w:rsidP="009C1F22">
            <w:pPr>
              <w:pStyle w:val="PLANNING"/>
              <w:rPr>
                <w:rFonts w:ascii="Calibri" w:hAnsi="Calibri"/>
                <w:szCs w:val="22"/>
              </w:rPr>
            </w:pPr>
            <w:r w:rsidRPr="00DB6B08">
              <w:rPr>
                <w:rFonts w:ascii="Calibri" w:hAnsi="Calibri"/>
                <w:szCs w:val="22"/>
              </w:rPr>
              <w:t xml:space="preserve">3/2003/0844: Proposed extension and alteration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B34EDCC" w14:textId="77777777" w:rsidR="00A43CDE" w:rsidRDefault="00DB6B08"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garage building which received planning consent in 2004 (ref: 3/2004/1130) in association with no.1 Proctor Fold, an end terrace residential property located within the Open Countryside, approximately 250m east of the defined settlement area of Osbaldeston. </w:t>
            </w:r>
          </w:p>
          <w:p w14:paraId="62370E9F" w14:textId="45A6D393" w:rsidR="009E5F96" w:rsidRPr="006C2BFA" w:rsidRDefault="009E5F96" w:rsidP="007D16A8">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3F6867" w14:textId="4C9C3E81" w:rsidR="005273B8" w:rsidRPr="005273B8" w:rsidRDefault="00C0704D" w:rsidP="008D26AB">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5B9E2D4F" w14:textId="77777777" w:rsidR="005273B8" w:rsidRDefault="005273B8" w:rsidP="008D26AB">
            <w:pPr>
              <w:pStyle w:val="Header"/>
              <w:tabs>
                <w:tab w:val="clear" w:pos="4153"/>
                <w:tab w:val="clear" w:pos="8306"/>
              </w:tabs>
              <w:jc w:val="both"/>
              <w:rPr>
                <w:rFonts w:ascii="Calibri" w:hAnsi="Calibri"/>
                <w:szCs w:val="22"/>
              </w:rPr>
            </w:pPr>
          </w:p>
          <w:p w14:paraId="506E43B3" w14:textId="5862723F" w:rsidR="002E3BD4" w:rsidRDefault="005273B8" w:rsidP="008D26AB">
            <w:pPr>
              <w:pStyle w:val="Header"/>
              <w:tabs>
                <w:tab w:val="clear" w:pos="4153"/>
                <w:tab w:val="clear" w:pos="8306"/>
              </w:tabs>
              <w:jc w:val="both"/>
              <w:rPr>
                <w:rFonts w:ascii="Calibri" w:hAnsi="Calibri"/>
                <w:szCs w:val="22"/>
              </w:rPr>
            </w:pPr>
            <w:r>
              <w:rPr>
                <w:rFonts w:ascii="Calibri" w:hAnsi="Calibri"/>
                <w:szCs w:val="22"/>
              </w:rPr>
              <w:t>The application seeks to establish</w:t>
            </w:r>
            <w:r w:rsidR="009C2BC9">
              <w:rPr>
                <w:rFonts w:ascii="Calibri" w:hAnsi="Calibri"/>
                <w:szCs w:val="22"/>
              </w:rPr>
              <w:t xml:space="preserve"> the lawful use of an area of land to the rear of no.1 Proctor Fold as that of private residential garden area, and that the building works, comprising the conversion of the former detached double garage into annex accommodation and construction of a single storey rear extension is lawful having regard to Section 171(B) of the Town and Country Planning Act 1990. It is the applicant’s claim that the land has been used for domestic purposes since at least 2006, with the building works having been substantially completed in 2017. </w:t>
            </w:r>
          </w:p>
          <w:p w14:paraId="7ED3F8C6" w14:textId="77777777" w:rsidR="002E3BD4" w:rsidRDefault="002E3BD4" w:rsidP="008D26AB">
            <w:pPr>
              <w:pStyle w:val="Header"/>
              <w:tabs>
                <w:tab w:val="clear" w:pos="4153"/>
                <w:tab w:val="clear" w:pos="8306"/>
              </w:tabs>
              <w:jc w:val="both"/>
              <w:rPr>
                <w:rFonts w:ascii="Calibri" w:hAnsi="Calibri"/>
                <w:szCs w:val="22"/>
              </w:rPr>
            </w:pPr>
          </w:p>
          <w:p w14:paraId="69807F72" w14:textId="21CBA15E" w:rsidR="002E3BD4" w:rsidRDefault="002E3BD4" w:rsidP="008D26AB">
            <w:pPr>
              <w:pStyle w:val="Header"/>
              <w:tabs>
                <w:tab w:val="clear" w:pos="4153"/>
                <w:tab w:val="clear" w:pos="8306"/>
              </w:tabs>
              <w:jc w:val="both"/>
              <w:rPr>
                <w:rFonts w:ascii="Calibri" w:hAnsi="Calibri"/>
                <w:szCs w:val="22"/>
              </w:rPr>
            </w:pPr>
            <w:r>
              <w:rPr>
                <w:rFonts w:ascii="Calibri" w:hAnsi="Calibri"/>
                <w:szCs w:val="22"/>
              </w:rPr>
              <w:t xml:space="preserve">The application is being made in accordance with Section 191 of the Town and Country Planning Act 1990 and the onus is on the applicant to prove ‘on the balance of probability’ that the </w:t>
            </w:r>
            <w:r w:rsidR="000E0F86">
              <w:rPr>
                <w:rFonts w:ascii="Calibri" w:hAnsi="Calibri"/>
                <w:szCs w:val="22"/>
              </w:rPr>
              <w:t xml:space="preserve">annex, single storey rear extension </w:t>
            </w:r>
            <w:r w:rsidR="00AE76C5">
              <w:rPr>
                <w:rFonts w:ascii="Calibri" w:hAnsi="Calibri"/>
                <w:szCs w:val="22"/>
              </w:rPr>
              <w:t>a</w:t>
            </w:r>
            <w:r w:rsidR="0011103A">
              <w:rPr>
                <w:rFonts w:ascii="Calibri" w:hAnsi="Calibri"/>
                <w:szCs w:val="22"/>
              </w:rPr>
              <w:t>nd</w:t>
            </w:r>
            <w:r w:rsidR="000E0F86">
              <w:rPr>
                <w:rFonts w:ascii="Calibri" w:hAnsi="Calibri"/>
                <w:szCs w:val="22"/>
              </w:rPr>
              <w:t xml:space="preserve"> domestic use of land is lawful. </w:t>
            </w:r>
          </w:p>
          <w:p w14:paraId="4B55C588" w14:textId="77777777" w:rsidR="000E0F86" w:rsidRDefault="000E0F86" w:rsidP="008D26AB">
            <w:pPr>
              <w:pStyle w:val="Header"/>
              <w:tabs>
                <w:tab w:val="clear" w:pos="4153"/>
                <w:tab w:val="clear" w:pos="8306"/>
              </w:tabs>
              <w:jc w:val="both"/>
              <w:rPr>
                <w:rFonts w:ascii="Calibri" w:hAnsi="Calibri"/>
                <w:szCs w:val="22"/>
              </w:rPr>
            </w:pPr>
          </w:p>
          <w:p w14:paraId="3A6BBD51" w14:textId="7FB531C8" w:rsidR="005273B8" w:rsidRDefault="000E0F86" w:rsidP="008D26AB">
            <w:pPr>
              <w:pStyle w:val="Header"/>
              <w:tabs>
                <w:tab w:val="clear" w:pos="4153"/>
                <w:tab w:val="clear" w:pos="8306"/>
              </w:tabs>
              <w:jc w:val="both"/>
              <w:rPr>
                <w:rFonts w:ascii="Calibri" w:hAnsi="Calibri"/>
                <w:szCs w:val="22"/>
              </w:rPr>
            </w:pPr>
            <w:r>
              <w:rPr>
                <w:rFonts w:ascii="Calibri" w:hAnsi="Calibri"/>
                <w:szCs w:val="22"/>
              </w:rPr>
              <w:t xml:space="preserve">National Planning Practise Guidance states that ‘in the case of applications for existing use, 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 </w:t>
            </w:r>
          </w:p>
          <w:p w14:paraId="1B20488F" w14:textId="1EB641C1" w:rsidR="005273B8" w:rsidRPr="00D54E67" w:rsidRDefault="005273B8" w:rsidP="008D26AB">
            <w:pPr>
              <w:pStyle w:val="Header"/>
              <w:tabs>
                <w:tab w:val="clear" w:pos="4153"/>
                <w:tab w:val="clear" w:pos="8306"/>
              </w:tabs>
              <w:jc w:val="both"/>
              <w:rPr>
                <w:rFonts w:ascii="Calibri" w:hAnsi="Calibri"/>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E20D27">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69C8539E" w14:textId="77777777" w:rsidR="00406EBD" w:rsidRDefault="00406EBD" w:rsidP="00E20D27">
            <w:pPr>
              <w:pStyle w:val="Header"/>
              <w:tabs>
                <w:tab w:val="clear" w:pos="4153"/>
                <w:tab w:val="clear" w:pos="8306"/>
              </w:tabs>
              <w:contextualSpacing/>
              <w:jc w:val="both"/>
              <w:rPr>
                <w:rFonts w:ascii="Calibri" w:hAnsi="Calibri"/>
                <w:b/>
                <w:szCs w:val="22"/>
              </w:rPr>
            </w:pPr>
          </w:p>
          <w:p w14:paraId="17D6842B" w14:textId="70C99C5D" w:rsidR="00AE76C5" w:rsidRDefault="00AE76C5" w:rsidP="00E20D27">
            <w:pPr>
              <w:pStyle w:val="Header"/>
              <w:tabs>
                <w:tab w:val="clear" w:pos="4153"/>
                <w:tab w:val="clear" w:pos="8306"/>
              </w:tabs>
              <w:contextualSpacing/>
              <w:jc w:val="both"/>
              <w:rPr>
                <w:rFonts w:ascii="Calibri" w:hAnsi="Calibri"/>
                <w:bCs/>
                <w:szCs w:val="22"/>
              </w:rPr>
            </w:pPr>
            <w:r>
              <w:rPr>
                <w:rFonts w:ascii="Calibri" w:hAnsi="Calibri"/>
                <w:bCs/>
                <w:szCs w:val="22"/>
              </w:rPr>
              <w:t>The main issue is whether or not there is sufficient evidence to support that there has been a continuous use of the land in association with the application property for more than 10 years before the date of this application and that the operation</w:t>
            </w:r>
            <w:r w:rsidR="0011103A">
              <w:rPr>
                <w:rFonts w:ascii="Calibri" w:hAnsi="Calibri"/>
                <w:bCs/>
                <w:szCs w:val="22"/>
              </w:rPr>
              <w:t>al</w:t>
            </w:r>
            <w:r>
              <w:rPr>
                <w:rFonts w:ascii="Calibri" w:hAnsi="Calibri"/>
                <w:bCs/>
                <w:szCs w:val="22"/>
              </w:rPr>
              <w:t xml:space="preserve"> development to the former garage is lawful by virtue of it being in place for 4 years or more before the date of this application and beginning with the date on which the operations were substantially completed, which would make the building operations exempt from enforcement action under the Town and County Planning Act Section 171B Time Limits. </w:t>
            </w:r>
          </w:p>
          <w:p w14:paraId="5FD31D08" w14:textId="77777777" w:rsidR="00C31DC4" w:rsidRDefault="00C31DC4" w:rsidP="00E20D27">
            <w:pPr>
              <w:pStyle w:val="Header"/>
              <w:tabs>
                <w:tab w:val="clear" w:pos="4153"/>
                <w:tab w:val="clear" w:pos="8306"/>
              </w:tabs>
              <w:contextualSpacing/>
              <w:jc w:val="both"/>
              <w:rPr>
                <w:rFonts w:ascii="Calibri" w:hAnsi="Calibri"/>
                <w:bCs/>
                <w:szCs w:val="22"/>
              </w:rPr>
            </w:pPr>
          </w:p>
          <w:p w14:paraId="7E73BFD4" w14:textId="784BF2C7" w:rsidR="00C31DC4" w:rsidRDefault="00C31DC4" w:rsidP="00E20D27">
            <w:pPr>
              <w:pStyle w:val="Header"/>
              <w:tabs>
                <w:tab w:val="clear" w:pos="4153"/>
                <w:tab w:val="clear" w:pos="8306"/>
              </w:tabs>
              <w:contextualSpacing/>
              <w:jc w:val="both"/>
              <w:rPr>
                <w:rFonts w:ascii="Calibri" w:hAnsi="Calibri"/>
                <w:bCs/>
                <w:szCs w:val="22"/>
              </w:rPr>
            </w:pPr>
            <w:r w:rsidRPr="00C31DC4">
              <w:rPr>
                <w:rFonts w:ascii="Calibri" w:hAnsi="Calibri"/>
                <w:bCs/>
                <w:szCs w:val="22"/>
              </w:rPr>
              <w:t>Section 171(B) of The Act provides timescales whereby unauthorised development becomes immune from enforcement action and as such becomes lawful</w:t>
            </w:r>
            <w:r>
              <w:rPr>
                <w:rFonts w:ascii="Calibri" w:hAnsi="Calibri"/>
                <w:bCs/>
                <w:szCs w:val="22"/>
              </w:rPr>
              <w:t>. In April 2024, changes to these timescales came into effect as a result of the Levelling Up and Regeneration Act, with the four-year time limit for bringing enforcement action against building or engineering operations and changes to use to a single dwellinghouse removed and a single 10-year tariff instead applying to all breaches of planning controls. However, the 10-year time limit for bringing enforcement action only applies where alleged operational development was substantially completed on or after 25</w:t>
            </w:r>
            <w:r w:rsidRPr="00C31DC4">
              <w:rPr>
                <w:rFonts w:ascii="Calibri" w:hAnsi="Calibri"/>
                <w:bCs/>
                <w:szCs w:val="22"/>
                <w:vertAlign w:val="superscript"/>
              </w:rPr>
              <w:t>th</w:t>
            </w:r>
            <w:r>
              <w:rPr>
                <w:rFonts w:ascii="Calibri" w:hAnsi="Calibri"/>
                <w:bCs/>
                <w:szCs w:val="22"/>
              </w:rPr>
              <w:t xml:space="preserve"> April 2024, or whether the date of an alleged change of use to a single dwellinghouse was on or after 25</w:t>
            </w:r>
            <w:r w:rsidRPr="00C31DC4">
              <w:rPr>
                <w:rFonts w:ascii="Calibri" w:hAnsi="Calibri"/>
                <w:bCs/>
                <w:szCs w:val="22"/>
                <w:vertAlign w:val="superscript"/>
              </w:rPr>
              <w:t>th</w:t>
            </w:r>
            <w:r>
              <w:rPr>
                <w:rFonts w:ascii="Calibri" w:hAnsi="Calibri"/>
                <w:bCs/>
                <w:szCs w:val="22"/>
              </w:rPr>
              <w:t xml:space="preserve"> April 2024. </w:t>
            </w:r>
          </w:p>
          <w:p w14:paraId="66873881" w14:textId="77777777" w:rsidR="00C31DC4" w:rsidRDefault="00C31DC4" w:rsidP="00E20D27">
            <w:pPr>
              <w:pStyle w:val="Header"/>
              <w:tabs>
                <w:tab w:val="clear" w:pos="4153"/>
                <w:tab w:val="clear" w:pos="8306"/>
              </w:tabs>
              <w:contextualSpacing/>
              <w:jc w:val="both"/>
              <w:rPr>
                <w:rFonts w:ascii="Calibri" w:hAnsi="Calibri"/>
                <w:bCs/>
                <w:szCs w:val="22"/>
              </w:rPr>
            </w:pPr>
          </w:p>
          <w:p w14:paraId="5CDB6EC5" w14:textId="5585C3A7" w:rsidR="00C31DC4" w:rsidRDefault="00C31DC4" w:rsidP="00E20D27">
            <w:pPr>
              <w:pStyle w:val="Header"/>
              <w:tabs>
                <w:tab w:val="clear" w:pos="4153"/>
                <w:tab w:val="clear" w:pos="8306"/>
              </w:tabs>
              <w:contextualSpacing/>
              <w:jc w:val="both"/>
              <w:rPr>
                <w:rFonts w:ascii="Calibri" w:hAnsi="Calibri"/>
                <w:bCs/>
                <w:szCs w:val="22"/>
              </w:rPr>
            </w:pPr>
            <w:r>
              <w:rPr>
                <w:rFonts w:ascii="Calibri" w:hAnsi="Calibri"/>
                <w:bCs/>
                <w:szCs w:val="22"/>
              </w:rPr>
              <w:t xml:space="preserve">It is the applicant’s claim that the change of use of </w:t>
            </w:r>
            <w:r w:rsidR="00253585">
              <w:rPr>
                <w:rFonts w:ascii="Calibri" w:hAnsi="Calibri"/>
                <w:bCs/>
                <w:szCs w:val="22"/>
              </w:rPr>
              <w:t xml:space="preserve">land and operational development </w:t>
            </w:r>
            <w:r w:rsidR="007D16A8">
              <w:rPr>
                <w:rFonts w:ascii="Calibri" w:hAnsi="Calibri"/>
                <w:bCs/>
                <w:szCs w:val="22"/>
              </w:rPr>
              <w:t>occurred in 20</w:t>
            </w:r>
            <w:r w:rsidR="00253585">
              <w:rPr>
                <w:rFonts w:ascii="Calibri" w:hAnsi="Calibri"/>
                <w:bCs/>
                <w:szCs w:val="22"/>
              </w:rPr>
              <w:t>06</w:t>
            </w:r>
            <w:r w:rsidR="007D16A8">
              <w:rPr>
                <w:rFonts w:ascii="Calibri" w:hAnsi="Calibri"/>
                <w:bCs/>
                <w:szCs w:val="22"/>
              </w:rPr>
              <w:t xml:space="preserve"> and </w:t>
            </w:r>
            <w:r w:rsidR="00253585">
              <w:rPr>
                <w:rFonts w:ascii="Calibri" w:hAnsi="Calibri"/>
                <w:bCs/>
                <w:szCs w:val="22"/>
              </w:rPr>
              <w:t>2017</w:t>
            </w:r>
            <w:r w:rsidR="007D16A8">
              <w:rPr>
                <w:rFonts w:ascii="Calibri" w:hAnsi="Calibri"/>
                <w:bCs/>
                <w:szCs w:val="22"/>
              </w:rPr>
              <w:t xml:space="preserve"> respectively. As such, the four-year time limit is applied to this application. In this respect, Section 171B of the Town and Country Planning Act states the following: </w:t>
            </w:r>
          </w:p>
          <w:p w14:paraId="30678978" w14:textId="77777777" w:rsidR="007D16A8" w:rsidRDefault="007D16A8" w:rsidP="00E20D27">
            <w:pPr>
              <w:pStyle w:val="Header"/>
              <w:tabs>
                <w:tab w:val="clear" w:pos="4153"/>
                <w:tab w:val="clear" w:pos="8306"/>
              </w:tabs>
              <w:contextualSpacing/>
              <w:jc w:val="both"/>
              <w:rPr>
                <w:rFonts w:ascii="Calibri" w:hAnsi="Calibri"/>
                <w:bCs/>
                <w:szCs w:val="22"/>
              </w:rPr>
            </w:pPr>
          </w:p>
          <w:p w14:paraId="48834423" w14:textId="77777777" w:rsidR="007D16A8" w:rsidRPr="007D16A8" w:rsidRDefault="007D16A8" w:rsidP="00E20D27">
            <w:pPr>
              <w:pStyle w:val="Header"/>
              <w:numPr>
                <w:ilvl w:val="0"/>
                <w:numId w:val="3"/>
              </w:numPr>
              <w:jc w:val="both"/>
              <w:rPr>
                <w:rFonts w:ascii="Calibri" w:hAnsi="Calibri"/>
                <w:bCs/>
                <w:i/>
                <w:szCs w:val="22"/>
                <w:lang w:val="en"/>
              </w:rPr>
            </w:pPr>
            <w:r w:rsidRPr="007D16A8">
              <w:rPr>
                <w:rFonts w:ascii="Calibri" w:hAnsi="Calibri"/>
                <w:bCs/>
                <w:i/>
                <w:szCs w:val="22"/>
                <w:lang w:val="en"/>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6ED9BE51" w14:textId="77777777" w:rsidR="007D16A8" w:rsidRPr="007D16A8" w:rsidRDefault="007D16A8" w:rsidP="00E20D27">
            <w:pPr>
              <w:pStyle w:val="Header"/>
              <w:jc w:val="both"/>
              <w:rPr>
                <w:rFonts w:ascii="Calibri" w:hAnsi="Calibri"/>
                <w:bCs/>
                <w:i/>
                <w:szCs w:val="22"/>
                <w:lang w:val="en"/>
              </w:rPr>
            </w:pPr>
          </w:p>
          <w:p w14:paraId="32670DD5" w14:textId="77777777" w:rsidR="007D16A8" w:rsidRPr="007D16A8" w:rsidRDefault="007D16A8" w:rsidP="00E20D27">
            <w:pPr>
              <w:pStyle w:val="Header"/>
              <w:numPr>
                <w:ilvl w:val="0"/>
                <w:numId w:val="3"/>
              </w:numPr>
              <w:jc w:val="both"/>
              <w:rPr>
                <w:rFonts w:ascii="Calibri" w:hAnsi="Calibri"/>
                <w:bCs/>
                <w:i/>
                <w:szCs w:val="22"/>
                <w:lang w:val="en"/>
              </w:rPr>
            </w:pPr>
            <w:r w:rsidRPr="007D16A8">
              <w:rPr>
                <w:rFonts w:ascii="Calibri" w:hAnsi="Calibri"/>
                <w:bCs/>
                <w:i/>
                <w:szCs w:val="22"/>
                <w:lang w:val="en"/>
              </w:rPr>
              <w:t>Where there has been a breach of planning control consisting in the change of use of any building to use as a single dwellinghouse, no enforcement action may be taken after the end of the period of four years beginning with the date of the breach.</w:t>
            </w:r>
          </w:p>
          <w:p w14:paraId="368A6724" w14:textId="77777777" w:rsidR="007D16A8" w:rsidRPr="007D16A8" w:rsidRDefault="007D16A8" w:rsidP="00E20D27">
            <w:pPr>
              <w:pStyle w:val="Header"/>
              <w:jc w:val="both"/>
              <w:rPr>
                <w:rFonts w:ascii="Calibri" w:hAnsi="Calibri"/>
                <w:bCs/>
                <w:i/>
                <w:szCs w:val="22"/>
                <w:lang w:val="en"/>
              </w:rPr>
            </w:pPr>
          </w:p>
          <w:p w14:paraId="76A3A3D8" w14:textId="77777777" w:rsidR="007D16A8" w:rsidRPr="007D16A8" w:rsidRDefault="007D16A8" w:rsidP="00E20D27">
            <w:pPr>
              <w:pStyle w:val="Header"/>
              <w:numPr>
                <w:ilvl w:val="0"/>
                <w:numId w:val="3"/>
              </w:numPr>
              <w:jc w:val="both"/>
              <w:rPr>
                <w:rFonts w:ascii="Calibri" w:hAnsi="Calibri"/>
                <w:bCs/>
                <w:i/>
                <w:szCs w:val="22"/>
                <w:lang w:val="en"/>
              </w:rPr>
            </w:pPr>
            <w:r w:rsidRPr="007D16A8">
              <w:rPr>
                <w:rFonts w:ascii="Calibri" w:hAnsi="Calibri"/>
                <w:bCs/>
                <w:i/>
                <w:szCs w:val="22"/>
                <w:lang w:val="en"/>
              </w:rPr>
              <w:t>In the case of any other breach of planning control, no enforcement action may be taken after the end of the period of ten years beginning with the date of the breach.</w:t>
            </w:r>
          </w:p>
          <w:p w14:paraId="7ED19884" w14:textId="77777777" w:rsidR="007D16A8" w:rsidRPr="007D16A8" w:rsidRDefault="007D16A8" w:rsidP="00E20D27">
            <w:pPr>
              <w:pStyle w:val="Header"/>
              <w:jc w:val="both"/>
              <w:rPr>
                <w:rFonts w:ascii="Calibri" w:hAnsi="Calibri"/>
                <w:bCs/>
                <w:i/>
                <w:szCs w:val="22"/>
                <w:lang w:val="en"/>
              </w:rPr>
            </w:pPr>
          </w:p>
          <w:p w14:paraId="49D4F451" w14:textId="77777777" w:rsidR="007D16A8" w:rsidRPr="007D16A8" w:rsidRDefault="007D16A8" w:rsidP="00E20D27">
            <w:pPr>
              <w:pStyle w:val="Header"/>
              <w:numPr>
                <w:ilvl w:val="0"/>
                <w:numId w:val="3"/>
              </w:numPr>
              <w:jc w:val="both"/>
              <w:rPr>
                <w:rFonts w:ascii="Calibri" w:hAnsi="Calibri"/>
                <w:bCs/>
                <w:i/>
                <w:szCs w:val="22"/>
                <w:lang w:val="en"/>
              </w:rPr>
            </w:pPr>
            <w:r w:rsidRPr="007D16A8">
              <w:rPr>
                <w:rFonts w:ascii="Calibri" w:hAnsi="Calibri"/>
                <w:bCs/>
                <w:i/>
                <w:szCs w:val="22"/>
                <w:lang w:val="en"/>
              </w:rPr>
              <w:t>The preceding subsections do not prevent—</w:t>
            </w:r>
          </w:p>
          <w:p w14:paraId="09ADA4B7" w14:textId="77777777" w:rsidR="007D16A8" w:rsidRPr="007D16A8" w:rsidRDefault="007D16A8" w:rsidP="00E20D27">
            <w:pPr>
              <w:pStyle w:val="Header"/>
              <w:jc w:val="both"/>
              <w:rPr>
                <w:rFonts w:ascii="Calibri" w:hAnsi="Calibri"/>
                <w:bCs/>
                <w:i/>
                <w:szCs w:val="22"/>
                <w:lang w:val="en"/>
              </w:rPr>
            </w:pPr>
          </w:p>
          <w:p w14:paraId="6594B96D" w14:textId="77777777" w:rsidR="007D16A8" w:rsidRPr="007D16A8" w:rsidRDefault="007D16A8" w:rsidP="00E20D27">
            <w:pPr>
              <w:pStyle w:val="Header"/>
              <w:numPr>
                <w:ilvl w:val="0"/>
                <w:numId w:val="4"/>
              </w:numPr>
              <w:jc w:val="both"/>
              <w:rPr>
                <w:rFonts w:ascii="Calibri" w:hAnsi="Calibri"/>
                <w:bCs/>
                <w:i/>
                <w:szCs w:val="22"/>
                <w:lang w:val="en"/>
              </w:rPr>
            </w:pPr>
            <w:r w:rsidRPr="007D16A8">
              <w:rPr>
                <w:rFonts w:ascii="Calibri" w:hAnsi="Calibri"/>
                <w:bCs/>
                <w:i/>
                <w:szCs w:val="22"/>
                <w:lang w:val="en"/>
              </w:rPr>
              <w:t>the service of a breach of condition notice in respect of any breach of planning control if an enforcement notice in respect of the breach is in effect; or</w:t>
            </w:r>
          </w:p>
          <w:p w14:paraId="159A663D" w14:textId="77777777" w:rsidR="007D16A8" w:rsidRPr="007D16A8" w:rsidRDefault="007D16A8" w:rsidP="00E20D27">
            <w:pPr>
              <w:pStyle w:val="Header"/>
              <w:numPr>
                <w:ilvl w:val="0"/>
                <w:numId w:val="4"/>
              </w:numPr>
              <w:jc w:val="both"/>
              <w:rPr>
                <w:rFonts w:ascii="Calibri" w:hAnsi="Calibri"/>
                <w:bCs/>
                <w:i/>
                <w:szCs w:val="22"/>
                <w:lang w:val="en"/>
              </w:rPr>
            </w:pPr>
            <w:r w:rsidRPr="007D16A8">
              <w:rPr>
                <w:rFonts w:ascii="Calibri" w:hAnsi="Calibri"/>
                <w:bCs/>
                <w:i/>
                <w:szCs w:val="22"/>
                <w:lang w:val="en"/>
              </w:rPr>
              <w:t>taking further enforcement action in respect of any breach of planning control if, during the period of four years ending with that action being taken, the local planning authority have taken or purported to take enforcement action in respect of that breach.</w:t>
            </w:r>
          </w:p>
          <w:p w14:paraId="68EC93F3" w14:textId="77777777" w:rsidR="007D16A8" w:rsidRPr="00AE76C5" w:rsidRDefault="007D16A8" w:rsidP="00E20D27">
            <w:pPr>
              <w:pStyle w:val="Header"/>
              <w:tabs>
                <w:tab w:val="clear" w:pos="4153"/>
                <w:tab w:val="clear" w:pos="8306"/>
              </w:tabs>
              <w:contextualSpacing/>
              <w:jc w:val="both"/>
              <w:rPr>
                <w:rFonts w:ascii="Calibri" w:hAnsi="Calibri"/>
                <w:bCs/>
                <w:szCs w:val="22"/>
              </w:rPr>
            </w:pPr>
          </w:p>
          <w:p w14:paraId="7FAEECBA" w14:textId="0406C06A" w:rsidR="007D16A8" w:rsidRDefault="007D16A8" w:rsidP="00E20D27">
            <w:pPr>
              <w:pStyle w:val="Header"/>
              <w:tabs>
                <w:tab w:val="clear" w:pos="4153"/>
                <w:tab w:val="clear" w:pos="8306"/>
              </w:tabs>
              <w:contextualSpacing/>
              <w:jc w:val="both"/>
              <w:rPr>
                <w:rFonts w:ascii="Calibri" w:hAnsi="Calibri"/>
                <w:szCs w:val="22"/>
              </w:rPr>
            </w:pPr>
            <w:r w:rsidRPr="007D16A8">
              <w:rPr>
                <w:rFonts w:ascii="Calibri" w:hAnsi="Calibri"/>
                <w:szCs w:val="22"/>
              </w:rPr>
              <w:t>The applicant has submitted supporting information to support the claim that the</w:t>
            </w:r>
            <w:r w:rsidR="00E20D27">
              <w:rPr>
                <w:rFonts w:ascii="Calibri" w:hAnsi="Calibri"/>
                <w:szCs w:val="22"/>
              </w:rPr>
              <w:t xml:space="preserve"> land to the rear of the property has been in domestic use since </w:t>
            </w:r>
            <w:r w:rsidR="000F0935">
              <w:rPr>
                <w:rFonts w:ascii="Calibri" w:hAnsi="Calibri"/>
                <w:szCs w:val="22"/>
              </w:rPr>
              <w:t>2006</w:t>
            </w:r>
            <w:r w:rsidR="00E20D27">
              <w:rPr>
                <w:rFonts w:ascii="Calibri" w:hAnsi="Calibri"/>
                <w:szCs w:val="22"/>
              </w:rPr>
              <w:t xml:space="preserve">, with the conversion of the garage into annex accommodation and construction of a single storey rear extension having been substantially completed in 2017. </w:t>
            </w:r>
            <w:r w:rsidRPr="007D16A8">
              <w:rPr>
                <w:rFonts w:ascii="Calibri" w:hAnsi="Calibri"/>
                <w:szCs w:val="22"/>
              </w:rPr>
              <w:t>The submitted information consists of three sworn statements and a planning statement, including a copy of the Building Regulations application</w:t>
            </w:r>
            <w:r w:rsidR="009C2BC9">
              <w:rPr>
                <w:rFonts w:ascii="Calibri" w:hAnsi="Calibri"/>
                <w:szCs w:val="22"/>
              </w:rPr>
              <w:t xml:space="preserve"> relating to the conversion of the garage</w:t>
            </w:r>
            <w:r w:rsidRPr="007D16A8">
              <w:rPr>
                <w:rFonts w:ascii="Calibri" w:hAnsi="Calibri"/>
                <w:szCs w:val="22"/>
              </w:rPr>
              <w:t xml:space="preserve"> and a series of photographs</w:t>
            </w:r>
            <w:r w:rsidR="000B028E">
              <w:rPr>
                <w:rFonts w:ascii="Calibri" w:hAnsi="Calibri"/>
                <w:szCs w:val="22"/>
              </w:rPr>
              <w:t xml:space="preserve"> and </w:t>
            </w:r>
            <w:r w:rsidRPr="007D16A8">
              <w:rPr>
                <w:rFonts w:ascii="Calibri" w:hAnsi="Calibri"/>
                <w:szCs w:val="22"/>
              </w:rPr>
              <w:t>utility bills</w:t>
            </w:r>
            <w:r w:rsidR="000F0935">
              <w:rPr>
                <w:rFonts w:ascii="Calibri" w:hAnsi="Calibri"/>
                <w:szCs w:val="22"/>
              </w:rPr>
              <w:t xml:space="preserve"> dating back to </w:t>
            </w:r>
            <w:r w:rsidR="00DB0ACC">
              <w:rPr>
                <w:rFonts w:ascii="Calibri" w:hAnsi="Calibri"/>
                <w:szCs w:val="22"/>
              </w:rPr>
              <w:t>2011</w:t>
            </w:r>
            <w:r w:rsidR="000F0935">
              <w:rPr>
                <w:rFonts w:ascii="Calibri" w:hAnsi="Calibri"/>
                <w:szCs w:val="22"/>
              </w:rPr>
              <w:t xml:space="preserve"> and </w:t>
            </w:r>
            <w:r w:rsidR="00DB0ACC">
              <w:rPr>
                <w:rFonts w:ascii="Calibri" w:hAnsi="Calibri"/>
                <w:szCs w:val="22"/>
              </w:rPr>
              <w:t>2017</w:t>
            </w:r>
            <w:r w:rsidR="000F0935">
              <w:rPr>
                <w:rFonts w:ascii="Calibri" w:hAnsi="Calibri"/>
                <w:szCs w:val="22"/>
              </w:rPr>
              <w:t xml:space="preserve"> respectively</w:t>
            </w:r>
            <w:r w:rsidRPr="007D16A8">
              <w:rPr>
                <w:rFonts w:ascii="Calibri" w:hAnsi="Calibri"/>
                <w:szCs w:val="22"/>
              </w:rPr>
              <w:t xml:space="preserve">. </w:t>
            </w:r>
            <w:r w:rsidR="000B028E">
              <w:rPr>
                <w:rFonts w:ascii="Calibri" w:hAnsi="Calibri"/>
                <w:szCs w:val="22"/>
              </w:rPr>
              <w:t>A number of aerial photographs have also been submitted dat</w:t>
            </w:r>
            <w:r w:rsidR="0000516C">
              <w:rPr>
                <w:rFonts w:ascii="Calibri" w:hAnsi="Calibri"/>
                <w:szCs w:val="22"/>
              </w:rPr>
              <w:t>ing</w:t>
            </w:r>
            <w:r w:rsidR="000B028E">
              <w:rPr>
                <w:rFonts w:ascii="Calibri" w:hAnsi="Calibri"/>
                <w:szCs w:val="22"/>
              </w:rPr>
              <w:t xml:space="preserve"> from </w:t>
            </w:r>
            <w:r w:rsidR="005123DC">
              <w:rPr>
                <w:rFonts w:ascii="Calibri" w:hAnsi="Calibri"/>
                <w:szCs w:val="22"/>
              </w:rPr>
              <w:t>2009</w:t>
            </w:r>
            <w:r w:rsidR="000B028E">
              <w:rPr>
                <w:rFonts w:ascii="Calibri" w:hAnsi="Calibri"/>
                <w:szCs w:val="22"/>
              </w:rPr>
              <w:t xml:space="preserve"> to </w:t>
            </w:r>
            <w:r w:rsidR="005123DC">
              <w:rPr>
                <w:rFonts w:ascii="Calibri" w:hAnsi="Calibri"/>
                <w:szCs w:val="22"/>
              </w:rPr>
              <w:t>2023</w:t>
            </w:r>
            <w:r w:rsidR="000B028E">
              <w:rPr>
                <w:rFonts w:ascii="Calibri" w:hAnsi="Calibri"/>
                <w:szCs w:val="22"/>
              </w:rPr>
              <w:t xml:space="preserve">. </w:t>
            </w:r>
          </w:p>
          <w:p w14:paraId="534C1578" w14:textId="77777777" w:rsidR="00E20D27" w:rsidRDefault="00E20D27" w:rsidP="00E20D27">
            <w:pPr>
              <w:pStyle w:val="Header"/>
              <w:tabs>
                <w:tab w:val="clear" w:pos="4153"/>
                <w:tab w:val="clear" w:pos="8306"/>
              </w:tabs>
              <w:contextualSpacing/>
              <w:jc w:val="both"/>
              <w:rPr>
                <w:rFonts w:ascii="Calibri" w:hAnsi="Calibri"/>
                <w:szCs w:val="22"/>
              </w:rPr>
            </w:pPr>
          </w:p>
          <w:p w14:paraId="4A4582CB" w14:textId="50D772D1" w:rsidR="00E20D27" w:rsidRDefault="00E20D27" w:rsidP="00E20D27">
            <w:pPr>
              <w:pStyle w:val="Header"/>
              <w:tabs>
                <w:tab w:val="clear" w:pos="4153"/>
                <w:tab w:val="clear" w:pos="8306"/>
              </w:tabs>
              <w:contextualSpacing/>
              <w:jc w:val="both"/>
              <w:rPr>
                <w:rFonts w:ascii="Calibri" w:hAnsi="Calibri"/>
                <w:szCs w:val="22"/>
              </w:rPr>
            </w:pPr>
            <w:r>
              <w:rPr>
                <w:rFonts w:ascii="Calibri" w:hAnsi="Calibri"/>
                <w:szCs w:val="22"/>
              </w:rPr>
              <w:t xml:space="preserve">The information contained within the supporting documents can be summarised as follows: </w:t>
            </w:r>
          </w:p>
          <w:p w14:paraId="1DB6BFB7" w14:textId="77777777" w:rsidR="00E20D27" w:rsidRDefault="00E20D27" w:rsidP="00E20D27">
            <w:pPr>
              <w:pStyle w:val="Header"/>
              <w:tabs>
                <w:tab w:val="clear" w:pos="4153"/>
                <w:tab w:val="clear" w:pos="8306"/>
              </w:tabs>
              <w:contextualSpacing/>
              <w:jc w:val="both"/>
              <w:rPr>
                <w:rFonts w:ascii="Calibri" w:hAnsi="Calibri"/>
                <w:szCs w:val="22"/>
              </w:rPr>
            </w:pPr>
          </w:p>
          <w:p w14:paraId="1BBD53F2" w14:textId="2261BA62" w:rsidR="007B673D" w:rsidRDefault="007B673D" w:rsidP="00E20D27">
            <w:pPr>
              <w:pStyle w:val="Header"/>
              <w:numPr>
                <w:ilvl w:val="0"/>
                <w:numId w:val="6"/>
              </w:numPr>
              <w:tabs>
                <w:tab w:val="clear" w:pos="4153"/>
                <w:tab w:val="clear" w:pos="8306"/>
              </w:tabs>
              <w:contextualSpacing/>
              <w:jc w:val="both"/>
              <w:rPr>
                <w:rFonts w:ascii="Calibri" w:hAnsi="Calibri"/>
                <w:szCs w:val="22"/>
              </w:rPr>
            </w:pPr>
            <w:r>
              <w:rPr>
                <w:rFonts w:ascii="Calibri" w:hAnsi="Calibri"/>
                <w:szCs w:val="22"/>
              </w:rPr>
              <w:t xml:space="preserve">The small parcel of former agricultural land to the rear of no.1 Proctor Fold was purchased by the former owner of no.1 Proctor Fold in 2003, with this land being fenced off from the surrounding fields and used as residential garden since </w:t>
            </w:r>
            <w:r w:rsidR="000B028E">
              <w:rPr>
                <w:rFonts w:ascii="Calibri" w:hAnsi="Calibri"/>
                <w:szCs w:val="22"/>
              </w:rPr>
              <w:t xml:space="preserve">at least </w:t>
            </w:r>
            <w:r>
              <w:rPr>
                <w:rFonts w:ascii="Calibri" w:hAnsi="Calibri"/>
                <w:szCs w:val="22"/>
              </w:rPr>
              <w:t>200</w:t>
            </w:r>
            <w:r w:rsidR="000B028E">
              <w:rPr>
                <w:rFonts w:ascii="Calibri" w:hAnsi="Calibri"/>
                <w:szCs w:val="22"/>
              </w:rPr>
              <w:t>6;</w:t>
            </w:r>
          </w:p>
          <w:p w14:paraId="678492A9" w14:textId="7DA87A2D" w:rsidR="009C2BC9" w:rsidRDefault="009C2BC9" w:rsidP="00E20D27">
            <w:pPr>
              <w:pStyle w:val="Header"/>
              <w:numPr>
                <w:ilvl w:val="0"/>
                <w:numId w:val="6"/>
              </w:numPr>
              <w:tabs>
                <w:tab w:val="clear" w:pos="4153"/>
                <w:tab w:val="clear" w:pos="8306"/>
              </w:tabs>
              <w:contextualSpacing/>
              <w:jc w:val="both"/>
              <w:rPr>
                <w:rFonts w:ascii="Calibri" w:hAnsi="Calibri"/>
                <w:szCs w:val="22"/>
              </w:rPr>
            </w:pPr>
            <w:r>
              <w:rPr>
                <w:rFonts w:ascii="Calibri" w:hAnsi="Calibri"/>
                <w:szCs w:val="22"/>
              </w:rPr>
              <w:t>Planning consent was granted</w:t>
            </w:r>
            <w:r w:rsidR="0000516C">
              <w:rPr>
                <w:rFonts w:ascii="Calibri" w:hAnsi="Calibri"/>
                <w:szCs w:val="22"/>
              </w:rPr>
              <w:t xml:space="preserve"> in 2004</w:t>
            </w:r>
            <w:r>
              <w:rPr>
                <w:rFonts w:ascii="Calibri" w:hAnsi="Calibri"/>
                <w:szCs w:val="22"/>
              </w:rPr>
              <w:t xml:space="preserve"> </w:t>
            </w:r>
            <w:r w:rsidR="0000516C">
              <w:rPr>
                <w:rFonts w:ascii="Calibri" w:hAnsi="Calibri"/>
                <w:szCs w:val="22"/>
              </w:rPr>
              <w:t>under application ref: 3/2004/1130 for the construction of the detached double garage building which was then built in 2005;</w:t>
            </w:r>
          </w:p>
          <w:p w14:paraId="3A627EC5" w14:textId="7798CDB8" w:rsidR="0000516C" w:rsidRDefault="0000516C" w:rsidP="00E20D27">
            <w:pPr>
              <w:pStyle w:val="Header"/>
              <w:numPr>
                <w:ilvl w:val="0"/>
                <w:numId w:val="6"/>
              </w:numPr>
              <w:tabs>
                <w:tab w:val="clear" w:pos="4153"/>
                <w:tab w:val="clear" w:pos="8306"/>
              </w:tabs>
              <w:contextualSpacing/>
              <w:jc w:val="both"/>
              <w:rPr>
                <w:rFonts w:ascii="Calibri" w:hAnsi="Calibri"/>
                <w:szCs w:val="22"/>
              </w:rPr>
            </w:pPr>
            <w:r>
              <w:rPr>
                <w:rFonts w:ascii="Calibri" w:hAnsi="Calibri"/>
                <w:szCs w:val="22"/>
              </w:rPr>
              <w:t>In 2016 Building Regulations application 3/2016/0402 was approved relating to the conversion of the detached double garage into a habitable space; however, no planning application was submitted;</w:t>
            </w:r>
          </w:p>
          <w:p w14:paraId="30A6A29B" w14:textId="00691D41" w:rsidR="00E20D27" w:rsidRDefault="00253585" w:rsidP="00E20D27">
            <w:pPr>
              <w:pStyle w:val="Header"/>
              <w:numPr>
                <w:ilvl w:val="0"/>
                <w:numId w:val="6"/>
              </w:numPr>
              <w:tabs>
                <w:tab w:val="clear" w:pos="4153"/>
                <w:tab w:val="clear" w:pos="8306"/>
              </w:tabs>
              <w:contextualSpacing/>
              <w:jc w:val="both"/>
              <w:rPr>
                <w:rFonts w:ascii="Calibri" w:hAnsi="Calibri"/>
                <w:szCs w:val="22"/>
              </w:rPr>
            </w:pPr>
            <w:r>
              <w:rPr>
                <w:rFonts w:ascii="Calibri" w:hAnsi="Calibri"/>
                <w:szCs w:val="22"/>
              </w:rPr>
              <w:t xml:space="preserve">The conversion works </w:t>
            </w:r>
            <w:r w:rsidR="007B673D">
              <w:rPr>
                <w:rFonts w:ascii="Calibri" w:hAnsi="Calibri"/>
                <w:szCs w:val="22"/>
              </w:rPr>
              <w:t>to the garage</w:t>
            </w:r>
            <w:r w:rsidR="0011103A">
              <w:rPr>
                <w:rFonts w:ascii="Calibri" w:hAnsi="Calibri"/>
                <w:szCs w:val="22"/>
              </w:rPr>
              <w:t xml:space="preserve">, including the construction of a single storey rear extension, </w:t>
            </w:r>
            <w:r>
              <w:rPr>
                <w:rFonts w:ascii="Calibri" w:hAnsi="Calibri"/>
                <w:szCs w:val="22"/>
              </w:rPr>
              <w:t>were undertaken during 2016 and 2017</w:t>
            </w:r>
            <w:r w:rsidR="0000516C">
              <w:rPr>
                <w:rFonts w:ascii="Calibri" w:hAnsi="Calibri"/>
                <w:szCs w:val="22"/>
              </w:rPr>
              <w:t>, with the works being substantially completed by November 2017</w:t>
            </w:r>
            <w:r w:rsidR="0011103A">
              <w:rPr>
                <w:rFonts w:ascii="Calibri" w:hAnsi="Calibri"/>
                <w:szCs w:val="22"/>
              </w:rPr>
              <w:t>;</w:t>
            </w:r>
          </w:p>
          <w:p w14:paraId="1EADEA21" w14:textId="6C09CE90" w:rsidR="00253585" w:rsidRDefault="00253585" w:rsidP="00253585">
            <w:pPr>
              <w:pStyle w:val="Header"/>
              <w:numPr>
                <w:ilvl w:val="0"/>
                <w:numId w:val="6"/>
              </w:numPr>
              <w:tabs>
                <w:tab w:val="clear" w:pos="4153"/>
                <w:tab w:val="clear" w:pos="8306"/>
              </w:tabs>
              <w:contextualSpacing/>
              <w:jc w:val="both"/>
              <w:rPr>
                <w:rFonts w:ascii="Calibri" w:hAnsi="Calibri"/>
                <w:szCs w:val="22"/>
              </w:rPr>
            </w:pPr>
            <w:r>
              <w:rPr>
                <w:rFonts w:ascii="Calibri" w:hAnsi="Calibri"/>
                <w:szCs w:val="22"/>
              </w:rPr>
              <w:t>Since November 2017, the building has been in continuous occupation by the applicant’s parents as their sole residence</w:t>
            </w:r>
            <w:r w:rsidR="007B673D">
              <w:rPr>
                <w:rFonts w:ascii="Calibri" w:hAnsi="Calibri"/>
                <w:szCs w:val="22"/>
              </w:rPr>
              <w:t xml:space="preserve">. </w:t>
            </w:r>
          </w:p>
          <w:p w14:paraId="5B431DC5" w14:textId="77777777" w:rsidR="007B673D" w:rsidRDefault="007B673D" w:rsidP="007B673D">
            <w:pPr>
              <w:pStyle w:val="Header"/>
              <w:tabs>
                <w:tab w:val="clear" w:pos="4153"/>
                <w:tab w:val="clear" w:pos="8306"/>
              </w:tabs>
              <w:contextualSpacing/>
              <w:jc w:val="both"/>
              <w:rPr>
                <w:rFonts w:ascii="Calibri" w:hAnsi="Calibri"/>
                <w:szCs w:val="22"/>
              </w:rPr>
            </w:pPr>
          </w:p>
          <w:p w14:paraId="635FA3A2" w14:textId="29A6CF40" w:rsidR="000F0935" w:rsidRDefault="000F0935" w:rsidP="00ED4F92">
            <w:pPr>
              <w:pStyle w:val="Header"/>
              <w:tabs>
                <w:tab w:val="clear" w:pos="4153"/>
                <w:tab w:val="clear" w:pos="8306"/>
              </w:tabs>
              <w:contextualSpacing/>
              <w:jc w:val="both"/>
              <w:rPr>
                <w:rFonts w:ascii="Calibri" w:hAnsi="Calibri"/>
                <w:szCs w:val="22"/>
              </w:rPr>
            </w:pPr>
            <w:r>
              <w:rPr>
                <w:rFonts w:ascii="Calibri" w:hAnsi="Calibri"/>
                <w:szCs w:val="22"/>
              </w:rPr>
              <w:t xml:space="preserve">Taking into account the submitted supporting information and in the absence of any other evidence to suggest otherwise, it is considered that the land has been used as private residential garden area in association with no.1 Proctor Fold for a period in excess of 10 years and that the conversion of the garage into annex accommodation and construction of the single storey rear extension was substantially completed more than 4 years ago. </w:t>
            </w:r>
          </w:p>
          <w:p w14:paraId="0F5F3DB4" w14:textId="58C6F2DB" w:rsidR="00ED4F92" w:rsidRPr="00ED4F92" w:rsidRDefault="00DD7F84" w:rsidP="00ED4F92">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9040C0F" w14:textId="7C74EDD3" w:rsidR="00257074" w:rsidRDefault="000B028E" w:rsidP="000B028E">
            <w:pPr>
              <w:pStyle w:val="Header"/>
              <w:tabs>
                <w:tab w:val="clear" w:pos="4153"/>
                <w:tab w:val="clear" w:pos="8306"/>
              </w:tabs>
              <w:contextualSpacing/>
              <w:jc w:val="both"/>
              <w:rPr>
                <w:rFonts w:ascii="Calibri" w:hAnsi="Calibri"/>
                <w:bCs/>
                <w:szCs w:val="22"/>
              </w:rPr>
            </w:pPr>
            <w:r>
              <w:rPr>
                <w:rFonts w:ascii="Calibri" w:hAnsi="Calibri"/>
                <w:bCs/>
                <w:szCs w:val="22"/>
              </w:rPr>
              <w:t xml:space="preserve">On the basis of the available evidence and the balance of probabilities, </w:t>
            </w:r>
            <w:r w:rsidR="00257074">
              <w:rPr>
                <w:rFonts w:ascii="Calibri" w:hAnsi="Calibri"/>
                <w:bCs/>
                <w:szCs w:val="22"/>
              </w:rPr>
              <w:t xml:space="preserve">it is considered that the area of land edged in red on the submitted Location Plan (1:1250 and 1:2500) has been used as residential curtilage in association with the residential property known as no.1 Proctor Fold for a period in excess of 10 years and is therefore considered lawful by virtue of Section 191 of the Town and County Planning Act 1990. Sufficient </w:t>
            </w:r>
            <w:r w:rsidR="0011103A">
              <w:rPr>
                <w:rFonts w:ascii="Calibri" w:hAnsi="Calibri"/>
                <w:bCs/>
                <w:szCs w:val="22"/>
              </w:rPr>
              <w:t>e</w:t>
            </w:r>
            <w:r w:rsidR="00257074">
              <w:rPr>
                <w:rFonts w:ascii="Calibri" w:hAnsi="Calibri"/>
                <w:bCs/>
                <w:szCs w:val="22"/>
              </w:rPr>
              <w:t xml:space="preserve">vidence has also been submitted to demonstrate that the conversion of the garage into annex accommodation and construction of </w:t>
            </w:r>
            <w:r w:rsidR="0011103A">
              <w:rPr>
                <w:rFonts w:ascii="Calibri" w:hAnsi="Calibri"/>
                <w:bCs/>
                <w:szCs w:val="22"/>
              </w:rPr>
              <w:t xml:space="preserve">a </w:t>
            </w:r>
            <w:r w:rsidR="00257074">
              <w:rPr>
                <w:rFonts w:ascii="Calibri" w:hAnsi="Calibri"/>
                <w:bCs/>
                <w:szCs w:val="22"/>
              </w:rPr>
              <w:t xml:space="preserve">single storey rear extension was substantially completed in excess of 4 years ago and is therefore considered lawful via the passage of time. </w:t>
            </w:r>
          </w:p>
          <w:p w14:paraId="3A4BD7A7" w14:textId="4EAAF8D0" w:rsidR="000B028E" w:rsidRDefault="000B028E" w:rsidP="00257074">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F5ADE3D" w:rsidR="00C0704D" w:rsidRPr="00D2449B" w:rsidRDefault="005F53CF"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600C7"/>
    <w:multiLevelType w:val="hybridMultilevel"/>
    <w:tmpl w:val="DDA6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83CDF"/>
    <w:multiLevelType w:val="hybridMultilevel"/>
    <w:tmpl w:val="10701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5E6D41"/>
    <w:multiLevelType w:val="hybridMultilevel"/>
    <w:tmpl w:val="582CF37A"/>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186400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130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16084">
    <w:abstractNumId w:val="3"/>
  </w:num>
  <w:num w:numId="6" w16cid:durableId="1661618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16C"/>
    <w:rsid w:val="00056599"/>
    <w:rsid w:val="00065833"/>
    <w:rsid w:val="000A6867"/>
    <w:rsid w:val="000B028E"/>
    <w:rsid w:val="000B5CB5"/>
    <w:rsid w:val="000E0936"/>
    <w:rsid w:val="000E0F86"/>
    <w:rsid w:val="000F0935"/>
    <w:rsid w:val="0011103A"/>
    <w:rsid w:val="00130035"/>
    <w:rsid w:val="001D4F7A"/>
    <w:rsid w:val="00202071"/>
    <w:rsid w:val="00210C12"/>
    <w:rsid w:val="00250879"/>
    <w:rsid w:val="00253585"/>
    <w:rsid w:val="00257074"/>
    <w:rsid w:val="00282632"/>
    <w:rsid w:val="00282E3A"/>
    <w:rsid w:val="0029334A"/>
    <w:rsid w:val="002954E5"/>
    <w:rsid w:val="00295A61"/>
    <w:rsid w:val="002A01CF"/>
    <w:rsid w:val="002C5DEA"/>
    <w:rsid w:val="002C6277"/>
    <w:rsid w:val="002E3BD4"/>
    <w:rsid w:val="002F2580"/>
    <w:rsid w:val="00321B6E"/>
    <w:rsid w:val="00375556"/>
    <w:rsid w:val="003C5B28"/>
    <w:rsid w:val="00406EBD"/>
    <w:rsid w:val="00440CB6"/>
    <w:rsid w:val="0046548C"/>
    <w:rsid w:val="004947BB"/>
    <w:rsid w:val="00497407"/>
    <w:rsid w:val="004A5EA9"/>
    <w:rsid w:val="004B3026"/>
    <w:rsid w:val="004C2434"/>
    <w:rsid w:val="004E1D72"/>
    <w:rsid w:val="004F0649"/>
    <w:rsid w:val="00510FA2"/>
    <w:rsid w:val="005123DC"/>
    <w:rsid w:val="005273B8"/>
    <w:rsid w:val="00556ECD"/>
    <w:rsid w:val="0059215A"/>
    <w:rsid w:val="005E1C6C"/>
    <w:rsid w:val="005E65DF"/>
    <w:rsid w:val="005F1A36"/>
    <w:rsid w:val="005F53CF"/>
    <w:rsid w:val="00610DE6"/>
    <w:rsid w:val="00665D63"/>
    <w:rsid w:val="00692B60"/>
    <w:rsid w:val="00696B04"/>
    <w:rsid w:val="006A71AD"/>
    <w:rsid w:val="006B3337"/>
    <w:rsid w:val="006C2BFA"/>
    <w:rsid w:val="006F6849"/>
    <w:rsid w:val="0070054B"/>
    <w:rsid w:val="00761D2C"/>
    <w:rsid w:val="00773A66"/>
    <w:rsid w:val="00776AE2"/>
    <w:rsid w:val="007B3CB4"/>
    <w:rsid w:val="007B673D"/>
    <w:rsid w:val="007C791C"/>
    <w:rsid w:val="007D0CEC"/>
    <w:rsid w:val="007D16A8"/>
    <w:rsid w:val="007D7DF4"/>
    <w:rsid w:val="007E0D23"/>
    <w:rsid w:val="007F16D6"/>
    <w:rsid w:val="00811771"/>
    <w:rsid w:val="00824DB6"/>
    <w:rsid w:val="00837F4F"/>
    <w:rsid w:val="008430D2"/>
    <w:rsid w:val="008542DE"/>
    <w:rsid w:val="00877C8F"/>
    <w:rsid w:val="008A28C8"/>
    <w:rsid w:val="008D26AB"/>
    <w:rsid w:val="008E5670"/>
    <w:rsid w:val="009C1F22"/>
    <w:rsid w:val="009C2BC9"/>
    <w:rsid w:val="009E5F96"/>
    <w:rsid w:val="009F4443"/>
    <w:rsid w:val="00A42E82"/>
    <w:rsid w:val="00A43CDE"/>
    <w:rsid w:val="00A579BB"/>
    <w:rsid w:val="00A63D55"/>
    <w:rsid w:val="00A74F22"/>
    <w:rsid w:val="00A95D89"/>
    <w:rsid w:val="00AE76C5"/>
    <w:rsid w:val="00AF2180"/>
    <w:rsid w:val="00B5479B"/>
    <w:rsid w:val="00B82A2B"/>
    <w:rsid w:val="00B93EB5"/>
    <w:rsid w:val="00BD3F03"/>
    <w:rsid w:val="00C0704D"/>
    <w:rsid w:val="00C25722"/>
    <w:rsid w:val="00C31DC4"/>
    <w:rsid w:val="00C618DB"/>
    <w:rsid w:val="00D11007"/>
    <w:rsid w:val="00D17EB1"/>
    <w:rsid w:val="00D2449B"/>
    <w:rsid w:val="00D54E67"/>
    <w:rsid w:val="00DB0ACC"/>
    <w:rsid w:val="00DB1FA4"/>
    <w:rsid w:val="00DB6B08"/>
    <w:rsid w:val="00DD3288"/>
    <w:rsid w:val="00DD62F6"/>
    <w:rsid w:val="00DD7F84"/>
    <w:rsid w:val="00E20D27"/>
    <w:rsid w:val="00E46243"/>
    <w:rsid w:val="00E60A93"/>
    <w:rsid w:val="00E66534"/>
    <w:rsid w:val="00E70027"/>
    <w:rsid w:val="00E72F6C"/>
    <w:rsid w:val="00EA09F9"/>
    <w:rsid w:val="00EC23C7"/>
    <w:rsid w:val="00EC4768"/>
    <w:rsid w:val="00ED00B7"/>
    <w:rsid w:val="00ED4F92"/>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7760">
      <w:bodyDiv w:val="1"/>
      <w:marLeft w:val="0"/>
      <w:marRight w:val="0"/>
      <w:marTop w:val="0"/>
      <w:marBottom w:val="0"/>
      <w:divBdr>
        <w:top w:val="none" w:sz="0" w:space="0" w:color="auto"/>
        <w:left w:val="none" w:sz="0" w:space="0" w:color="auto"/>
        <w:bottom w:val="none" w:sz="0" w:space="0" w:color="auto"/>
        <w:right w:val="none" w:sz="0" w:space="0" w:color="auto"/>
      </w:divBdr>
    </w:div>
    <w:div w:id="178281340">
      <w:bodyDiv w:val="1"/>
      <w:marLeft w:val="0"/>
      <w:marRight w:val="0"/>
      <w:marTop w:val="0"/>
      <w:marBottom w:val="0"/>
      <w:divBdr>
        <w:top w:val="none" w:sz="0" w:space="0" w:color="auto"/>
        <w:left w:val="none" w:sz="0" w:space="0" w:color="auto"/>
        <w:bottom w:val="none" w:sz="0" w:space="0" w:color="auto"/>
        <w:right w:val="none" w:sz="0" w:space="0" w:color="auto"/>
      </w:divBdr>
    </w:div>
    <w:div w:id="486091367">
      <w:bodyDiv w:val="1"/>
      <w:marLeft w:val="0"/>
      <w:marRight w:val="0"/>
      <w:marTop w:val="0"/>
      <w:marBottom w:val="0"/>
      <w:divBdr>
        <w:top w:val="none" w:sz="0" w:space="0" w:color="auto"/>
        <w:left w:val="none" w:sz="0" w:space="0" w:color="auto"/>
        <w:bottom w:val="none" w:sz="0" w:space="0" w:color="auto"/>
        <w:right w:val="none" w:sz="0" w:space="0" w:color="auto"/>
      </w:divBdr>
    </w:div>
    <w:div w:id="486945093">
      <w:bodyDiv w:val="1"/>
      <w:marLeft w:val="0"/>
      <w:marRight w:val="0"/>
      <w:marTop w:val="0"/>
      <w:marBottom w:val="0"/>
      <w:divBdr>
        <w:top w:val="none" w:sz="0" w:space="0" w:color="auto"/>
        <w:left w:val="none" w:sz="0" w:space="0" w:color="auto"/>
        <w:bottom w:val="none" w:sz="0" w:space="0" w:color="auto"/>
        <w:right w:val="none" w:sz="0" w:space="0" w:color="auto"/>
      </w:divBdr>
    </w:div>
    <w:div w:id="752165247">
      <w:bodyDiv w:val="1"/>
      <w:marLeft w:val="0"/>
      <w:marRight w:val="0"/>
      <w:marTop w:val="0"/>
      <w:marBottom w:val="0"/>
      <w:divBdr>
        <w:top w:val="none" w:sz="0" w:space="0" w:color="auto"/>
        <w:left w:val="none" w:sz="0" w:space="0" w:color="auto"/>
        <w:bottom w:val="none" w:sz="0" w:space="0" w:color="auto"/>
        <w:right w:val="none" w:sz="0" w:space="0" w:color="auto"/>
      </w:divBdr>
    </w:div>
    <w:div w:id="804662390">
      <w:bodyDiv w:val="1"/>
      <w:marLeft w:val="0"/>
      <w:marRight w:val="0"/>
      <w:marTop w:val="0"/>
      <w:marBottom w:val="0"/>
      <w:divBdr>
        <w:top w:val="none" w:sz="0" w:space="0" w:color="auto"/>
        <w:left w:val="none" w:sz="0" w:space="0" w:color="auto"/>
        <w:bottom w:val="none" w:sz="0" w:space="0" w:color="auto"/>
        <w:right w:val="none" w:sz="0" w:space="0" w:color="auto"/>
      </w:divBdr>
    </w:div>
    <w:div w:id="882445080">
      <w:bodyDiv w:val="1"/>
      <w:marLeft w:val="0"/>
      <w:marRight w:val="0"/>
      <w:marTop w:val="0"/>
      <w:marBottom w:val="0"/>
      <w:divBdr>
        <w:top w:val="none" w:sz="0" w:space="0" w:color="auto"/>
        <w:left w:val="none" w:sz="0" w:space="0" w:color="auto"/>
        <w:bottom w:val="none" w:sz="0" w:space="0" w:color="auto"/>
        <w:right w:val="none" w:sz="0" w:space="0" w:color="auto"/>
      </w:divBdr>
    </w:div>
    <w:div w:id="916206488">
      <w:bodyDiv w:val="1"/>
      <w:marLeft w:val="0"/>
      <w:marRight w:val="0"/>
      <w:marTop w:val="0"/>
      <w:marBottom w:val="0"/>
      <w:divBdr>
        <w:top w:val="none" w:sz="0" w:space="0" w:color="auto"/>
        <w:left w:val="none" w:sz="0" w:space="0" w:color="auto"/>
        <w:bottom w:val="none" w:sz="0" w:space="0" w:color="auto"/>
        <w:right w:val="none" w:sz="0" w:space="0" w:color="auto"/>
      </w:divBdr>
    </w:div>
    <w:div w:id="935361194">
      <w:bodyDiv w:val="1"/>
      <w:marLeft w:val="0"/>
      <w:marRight w:val="0"/>
      <w:marTop w:val="0"/>
      <w:marBottom w:val="0"/>
      <w:divBdr>
        <w:top w:val="none" w:sz="0" w:space="0" w:color="auto"/>
        <w:left w:val="none" w:sz="0" w:space="0" w:color="auto"/>
        <w:bottom w:val="none" w:sz="0" w:space="0" w:color="auto"/>
        <w:right w:val="none" w:sz="0" w:space="0" w:color="auto"/>
      </w:divBdr>
    </w:div>
    <w:div w:id="1506439622">
      <w:bodyDiv w:val="1"/>
      <w:marLeft w:val="0"/>
      <w:marRight w:val="0"/>
      <w:marTop w:val="0"/>
      <w:marBottom w:val="0"/>
      <w:divBdr>
        <w:top w:val="none" w:sz="0" w:space="0" w:color="auto"/>
        <w:left w:val="none" w:sz="0" w:space="0" w:color="auto"/>
        <w:bottom w:val="none" w:sz="0" w:space="0" w:color="auto"/>
        <w:right w:val="none" w:sz="0" w:space="0" w:color="auto"/>
      </w:divBdr>
    </w:div>
    <w:div w:id="1559167962">
      <w:bodyDiv w:val="1"/>
      <w:marLeft w:val="0"/>
      <w:marRight w:val="0"/>
      <w:marTop w:val="0"/>
      <w:marBottom w:val="0"/>
      <w:divBdr>
        <w:top w:val="none" w:sz="0" w:space="0" w:color="auto"/>
        <w:left w:val="none" w:sz="0" w:space="0" w:color="auto"/>
        <w:bottom w:val="none" w:sz="0" w:space="0" w:color="auto"/>
        <w:right w:val="none" w:sz="0" w:space="0" w:color="auto"/>
      </w:divBdr>
    </w:div>
    <w:div w:id="1559588311">
      <w:bodyDiv w:val="1"/>
      <w:marLeft w:val="0"/>
      <w:marRight w:val="0"/>
      <w:marTop w:val="0"/>
      <w:marBottom w:val="0"/>
      <w:divBdr>
        <w:top w:val="none" w:sz="0" w:space="0" w:color="auto"/>
        <w:left w:val="none" w:sz="0" w:space="0" w:color="auto"/>
        <w:bottom w:val="none" w:sz="0" w:space="0" w:color="auto"/>
        <w:right w:val="none" w:sz="0" w:space="0" w:color="auto"/>
      </w:divBdr>
    </w:div>
    <w:div w:id="1830368401">
      <w:bodyDiv w:val="1"/>
      <w:marLeft w:val="0"/>
      <w:marRight w:val="0"/>
      <w:marTop w:val="0"/>
      <w:marBottom w:val="0"/>
      <w:divBdr>
        <w:top w:val="none" w:sz="0" w:space="0" w:color="auto"/>
        <w:left w:val="none" w:sz="0" w:space="0" w:color="auto"/>
        <w:bottom w:val="none" w:sz="0" w:space="0" w:color="auto"/>
        <w:right w:val="none" w:sz="0" w:space="0" w:color="auto"/>
      </w:divBdr>
    </w:div>
    <w:div w:id="19337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2024-10-16T09:14:00Z</dcterms:created>
  <dcterms:modified xsi:type="dcterms:W3CDTF">2024-10-16T09:14:00Z</dcterms:modified>
</cp:coreProperties>
</file>