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D59F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79D05FD" w:rsidR="00837F4F" w:rsidRPr="00D2449B" w:rsidRDefault="00195C27"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CC5246B" w:rsidR="00837F4F" w:rsidRPr="00D2449B" w:rsidRDefault="00F17F58" w:rsidP="00D2449B">
            <w:pPr>
              <w:jc w:val="center"/>
              <w:rPr>
                <w:rFonts w:ascii="Calibri" w:hAnsi="Calibri"/>
                <w:b/>
                <w:szCs w:val="22"/>
              </w:rPr>
            </w:pPr>
            <w:r>
              <w:rPr>
                <w:rFonts w:ascii="Calibri" w:hAnsi="Calibri"/>
                <w:b/>
                <w:szCs w:val="22"/>
              </w:rPr>
              <w:t>18/10/2024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507A643" w:rsidR="00837F4F" w:rsidRPr="00D2449B" w:rsidRDefault="00736DEB" w:rsidP="00736DE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1B0F7A2" w:rsidR="00837F4F" w:rsidRPr="00D2449B" w:rsidRDefault="00736DEB" w:rsidP="00D2449B">
            <w:pPr>
              <w:jc w:val="center"/>
              <w:rPr>
                <w:rFonts w:ascii="Calibri" w:hAnsi="Calibri"/>
                <w:b/>
                <w:szCs w:val="22"/>
              </w:rPr>
            </w:pPr>
            <w:r>
              <w:rPr>
                <w:rFonts w:ascii="Calibri" w:hAnsi="Calibri"/>
                <w:b/>
                <w:szCs w:val="22"/>
              </w:rPr>
              <w:t>21.10.24</w:t>
            </w:r>
          </w:p>
        </w:tc>
      </w:tr>
      <w:tr w:rsidR="004A5EA9" w:rsidRPr="00D2449B" w14:paraId="2094A164" w14:textId="77777777" w:rsidTr="004D59F5">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D59F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0641156"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95C27">
              <w:rPr>
                <w:rFonts w:ascii="Calibri" w:hAnsi="Calibri"/>
                <w:szCs w:val="22"/>
              </w:rPr>
              <w:t>24/0</w:t>
            </w:r>
            <w:r w:rsidR="00F17F58">
              <w:rPr>
                <w:rFonts w:ascii="Calibri" w:hAnsi="Calibri"/>
                <w:szCs w:val="22"/>
              </w:rPr>
              <w:t>693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D59F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9A71E58" w:rsidR="00824DB6" w:rsidRPr="00C0704D" w:rsidRDefault="00195C27" w:rsidP="002C6277">
            <w:pPr>
              <w:rPr>
                <w:rFonts w:ascii="Calibri" w:hAnsi="Calibri"/>
                <w:szCs w:val="22"/>
              </w:rPr>
            </w:pPr>
            <w:r>
              <w:rPr>
                <w:rFonts w:ascii="Calibri" w:hAnsi="Calibri"/>
                <w:szCs w:val="22"/>
              </w:rPr>
              <w:t>02/07/2024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711CCBC" w:rsidR="00824DB6" w:rsidRPr="00C0704D" w:rsidRDefault="00195C27"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D59F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FFD7530" w:rsidR="004A5EA9" w:rsidRPr="00250879" w:rsidRDefault="00195C27" w:rsidP="00811771">
            <w:pPr>
              <w:rPr>
                <w:rFonts w:ascii="Calibri" w:hAnsi="Calibri"/>
                <w:color w:val="548DD4" w:themeColor="text2" w:themeTint="99"/>
                <w:szCs w:val="22"/>
              </w:rPr>
            </w:pPr>
            <w:r w:rsidRPr="004A30D6">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D59F5">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F5CC731" w:rsidR="004A5EA9" w:rsidRPr="00D2449B" w:rsidRDefault="00F17F58" w:rsidP="002A01CF">
            <w:pPr>
              <w:jc w:val="center"/>
              <w:rPr>
                <w:rFonts w:ascii="Calibri" w:hAnsi="Calibri"/>
                <w:b/>
                <w:szCs w:val="22"/>
              </w:rPr>
            </w:pPr>
            <w:r>
              <w:rPr>
                <w:rFonts w:ascii="Calibri" w:hAnsi="Calibri"/>
                <w:b/>
                <w:szCs w:val="22"/>
              </w:rPr>
              <w:t>APPROVAL</w:t>
            </w:r>
          </w:p>
        </w:tc>
      </w:tr>
      <w:tr w:rsidR="004A5EA9" w:rsidRPr="00D2449B" w14:paraId="7813B96A" w14:textId="77777777" w:rsidTr="004D59F5">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D59F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D674415" w:rsidR="004A5EA9" w:rsidRPr="002C6277" w:rsidRDefault="00F17F58">
            <w:pPr>
              <w:rPr>
                <w:rFonts w:ascii="Calibri" w:hAnsi="Calibri"/>
                <w:szCs w:val="22"/>
              </w:rPr>
            </w:pPr>
            <w:r>
              <w:rPr>
                <w:rFonts w:ascii="Calibri" w:hAnsi="Calibri"/>
                <w:szCs w:val="22"/>
              </w:rPr>
              <w:t xml:space="preserve">Proposed demolition of existing garage and rear conservatory and construction of two-storey extension to side and single-storey garden room to rear. </w:t>
            </w:r>
            <w:r w:rsidR="00195C27">
              <w:rPr>
                <w:rFonts w:ascii="Calibri" w:hAnsi="Calibri"/>
                <w:szCs w:val="22"/>
              </w:rPr>
              <w:t xml:space="preserve"> </w:t>
            </w:r>
          </w:p>
        </w:tc>
      </w:tr>
      <w:tr w:rsidR="002A01CF" w:rsidRPr="00D2449B" w14:paraId="52988241" w14:textId="77777777" w:rsidTr="004D59F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6ADA823" w:rsidR="002A01CF" w:rsidRPr="002C6277" w:rsidRDefault="00195C27" w:rsidP="00A42E82">
            <w:pPr>
              <w:rPr>
                <w:rFonts w:ascii="Calibri" w:hAnsi="Calibri"/>
                <w:szCs w:val="22"/>
              </w:rPr>
            </w:pPr>
            <w:r>
              <w:rPr>
                <w:rFonts w:ascii="Calibri" w:hAnsi="Calibri"/>
                <w:szCs w:val="22"/>
              </w:rPr>
              <w:t xml:space="preserve">15 </w:t>
            </w:r>
            <w:proofErr w:type="spellStart"/>
            <w:r>
              <w:rPr>
                <w:rFonts w:ascii="Calibri" w:hAnsi="Calibri"/>
                <w:szCs w:val="22"/>
              </w:rPr>
              <w:t>Sabden</w:t>
            </w:r>
            <w:proofErr w:type="spellEnd"/>
            <w:r>
              <w:rPr>
                <w:rFonts w:ascii="Calibri" w:hAnsi="Calibri"/>
                <w:szCs w:val="22"/>
              </w:rPr>
              <w:t xml:space="preserve"> Brook Court, </w:t>
            </w:r>
            <w:proofErr w:type="spellStart"/>
            <w:r>
              <w:rPr>
                <w:rFonts w:ascii="Calibri" w:hAnsi="Calibri"/>
                <w:szCs w:val="22"/>
              </w:rPr>
              <w:t>Sabden</w:t>
            </w:r>
            <w:proofErr w:type="spellEnd"/>
            <w:r>
              <w:rPr>
                <w:rFonts w:ascii="Calibri" w:hAnsi="Calibri"/>
                <w:szCs w:val="22"/>
              </w:rPr>
              <w:t xml:space="preserve"> BB7 9FY.</w:t>
            </w:r>
          </w:p>
        </w:tc>
      </w:tr>
      <w:tr w:rsidR="00A95D89" w:rsidRPr="00D2449B" w14:paraId="3FB99B2E" w14:textId="77777777" w:rsidTr="004D59F5">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D59F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3F9BC76" w:rsidR="002A01CF" w:rsidRPr="00195C27" w:rsidRDefault="00195C27">
            <w:pPr>
              <w:rPr>
                <w:rFonts w:ascii="Calibri" w:hAnsi="Calibri"/>
                <w:bCs/>
                <w:szCs w:val="22"/>
              </w:rPr>
            </w:pPr>
            <w:r w:rsidRPr="00195C27">
              <w:rPr>
                <w:rFonts w:ascii="Calibri" w:hAnsi="Calibri"/>
                <w:bCs/>
                <w:szCs w:val="22"/>
              </w:rPr>
              <w:t xml:space="preserve">No comments received. </w:t>
            </w:r>
          </w:p>
        </w:tc>
      </w:tr>
      <w:tr w:rsidR="00C618DB" w:rsidRPr="00D2449B" w14:paraId="639E958B" w14:textId="77777777" w:rsidTr="004D59F5">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D59F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D59F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3EA7F37" w:rsidR="002A01CF" w:rsidRPr="00195C27" w:rsidRDefault="006B6EED">
            <w:pPr>
              <w:rPr>
                <w:rFonts w:ascii="Calibri" w:hAnsi="Calibri"/>
                <w:bCs/>
                <w:szCs w:val="22"/>
              </w:rPr>
            </w:pPr>
            <w:r>
              <w:rPr>
                <w:rFonts w:ascii="Calibri" w:hAnsi="Calibri"/>
                <w:bCs/>
                <w:szCs w:val="22"/>
              </w:rPr>
              <w:t xml:space="preserve">No objection subject to condition. </w:t>
            </w:r>
          </w:p>
        </w:tc>
      </w:tr>
      <w:tr w:rsidR="00C0704D" w:rsidRPr="00D2449B" w14:paraId="62663AAF"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D59F5">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0E5584" w:rsidR="00C0704D" w:rsidRPr="00C0704D" w:rsidRDefault="00195C27"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4D59F5">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621D0ED" w14:textId="294CB272" w:rsidR="0046548C" w:rsidRPr="00F17F58" w:rsidRDefault="00F17F58" w:rsidP="00F17F58">
            <w:pPr>
              <w:pStyle w:val="PLANNING"/>
              <w:rPr>
                <w:rFonts w:ascii="Calibri" w:hAnsi="Calibri"/>
                <w:b/>
                <w:bCs/>
                <w:szCs w:val="22"/>
              </w:rPr>
            </w:pPr>
            <w:r w:rsidRPr="00F17F58">
              <w:rPr>
                <w:rFonts w:ascii="Calibri" w:hAnsi="Calibri"/>
                <w:b/>
                <w:bCs/>
                <w:szCs w:val="22"/>
              </w:rPr>
              <w:t xml:space="preserve">2024/0329: </w:t>
            </w:r>
            <w:r w:rsidR="006B6EED" w:rsidRPr="006B6EED">
              <w:rPr>
                <w:rFonts w:ascii="Calibri" w:hAnsi="Calibri"/>
                <w:szCs w:val="22"/>
              </w:rPr>
              <w:t xml:space="preserve">Proposed demolition of existing garage and rear conservatory and construction of two-storey extension to side and single-storey garden room to rear. (refused). </w:t>
            </w:r>
          </w:p>
          <w:p w14:paraId="17147D50" w14:textId="2575B668" w:rsidR="00F17F58" w:rsidRPr="00D2449B" w:rsidRDefault="00F17F58" w:rsidP="00F17F58">
            <w:pPr>
              <w:pStyle w:val="PLANNING"/>
              <w:rPr>
                <w:rFonts w:ascii="Calibri" w:hAnsi="Calibri"/>
                <w:b/>
                <w:bCs/>
                <w:szCs w:val="22"/>
              </w:rPr>
            </w:pPr>
          </w:p>
        </w:tc>
      </w:tr>
      <w:tr w:rsidR="00C0704D" w:rsidRPr="00D2449B" w14:paraId="6AAC3B0A" w14:textId="77777777" w:rsidTr="004D59F5">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64EC317" w14:textId="477D995B" w:rsidR="00C0704D" w:rsidRDefault="004D59F5"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semi-detached dwelling on </w:t>
            </w:r>
            <w:proofErr w:type="spellStart"/>
            <w:r>
              <w:rPr>
                <w:rFonts w:ascii="Calibri" w:hAnsi="Calibri"/>
                <w:bCs/>
                <w:szCs w:val="22"/>
              </w:rPr>
              <w:t>Sabden</w:t>
            </w:r>
            <w:proofErr w:type="spellEnd"/>
            <w:r>
              <w:rPr>
                <w:rFonts w:ascii="Calibri" w:hAnsi="Calibri"/>
                <w:bCs/>
                <w:szCs w:val="22"/>
              </w:rPr>
              <w:t xml:space="preserve"> Brook Court, </w:t>
            </w:r>
            <w:proofErr w:type="spellStart"/>
            <w:r>
              <w:rPr>
                <w:rFonts w:ascii="Calibri" w:hAnsi="Calibri"/>
                <w:bCs/>
                <w:szCs w:val="22"/>
              </w:rPr>
              <w:t>Sabden</w:t>
            </w:r>
            <w:proofErr w:type="spellEnd"/>
            <w:r>
              <w:rPr>
                <w:rFonts w:ascii="Calibri" w:hAnsi="Calibri"/>
                <w:bCs/>
                <w:szCs w:val="22"/>
              </w:rPr>
              <w:t xml:space="preserve">. The application site is located within the National Landscape (formerly the AONB) and the surrounding area is predominantly residential in nature. </w:t>
            </w:r>
          </w:p>
          <w:p w14:paraId="62370E9F" w14:textId="4563795B" w:rsidR="004D59F5" w:rsidRPr="006C2BFA" w:rsidRDefault="004D59F5"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8F41A2D" w14:textId="334C0808" w:rsidR="00C0704D" w:rsidRDefault="00195C27" w:rsidP="002F2580">
            <w:pPr>
              <w:rPr>
                <w:rFonts w:ascii="Calibri" w:hAnsi="Calibri"/>
                <w:szCs w:val="22"/>
              </w:rPr>
            </w:pPr>
            <w:r>
              <w:rPr>
                <w:rFonts w:ascii="Calibri" w:hAnsi="Calibri"/>
                <w:szCs w:val="22"/>
              </w:rPr>
              <w:t xml:space="preserve">Consent is sought for the construction of a two-storey side extension and </w:t>
            </w:r>
            <w:r w:rsidR="00F17F58">
              <w:rPr>
                <w:rFonts w:ascii="Calibri" w:hAnsi="Calibri"/>
                <w:szCs w:val="22"/>
              </w:rPr>
              <w:t xml:space="preserve">two </w:t>
            </w:r>
            <w:r>
              <w:rPr>
                <w:rFonts w:ascii="Calibri" w:hAnsi="Calibri"/>
                <w:szCs w:val="22"/>
              </w:rPr>
              <w:t>single-storey rear extension</w:t>
            </w:r>
            <w:r w:rsidR="00F17F58">
              <w:rPr>
                <w:rFonts w:ascii="Calibri" w:hAnsi="Calibri"/>
                <w:szCs w:val="22"/>
              </w:rPr>
              <w:t>s</w:t>
            </w:r>
            <w:r>
              <w:rPr>
                <w:rFonts w:ascii="Calibri" w:hAnsi="Calibri"/>
                <w:szCs w:val="22"/>
              </w:rPr>
              <w:t xml:space="preserve"> following the demolition of the existing attached garage and rear conservatory. </w:t>
            </w:r>
          </w:p>
          <w:p w14:paraId="1B20488F" w14:textId="5B466257" w:rsidR="00195C27" w:rsidRPr="00D54E67" w:rsidRDefault="00195C27" w:rsidP="002F2580">
            <w:pPr>
              <w:rPr>
                <w:rFonts w:ascii="Calibri" w:hAnsi="Calibri"/>
                <w:szCs w:val="22"/>
              </w:rPr>
            </w:pPr>
          </w:p>
        </w:tc>
      </w:tr>
      <w:tr w:rsidR="00C0704D" w:rsidRPr="00D2449B" w14:paraId="617768FF"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00FF5FC" w14:textId="77777777" w:rsidR="00ED00B7" w:rsidRDefault="003F6C60" w:rsidP="00C0704D">
            <w:pPr>
              <w:contextualSpacing/>
              <w:rPr>
                <w:rFonts w:ascii="Calibri" w:hAnsi="Calibri"/>
                <w:szCs w:val="22"/>
              </w:rPr>
            </w:pPr>
            <w:r>
              <w:rPr>
                <w:rFonts w:ascii="Calibri" w:hAnsi="Calibri"/>
                <w:szCs w:val="22"/>
              </w:rPr>
              <w:t xml:space="preserve">The application dwelling has several neighbouring properties, these are known as No.14 </w:t>
            </w:r>
            <w:proofErr w:type="spellStart"/>
            <w:r>
              <w:rPr>
                <w:rFonts w:ascii="Calibri" w:hAnsi="Calibri"/>
                <w:szCs w:val="22"/>
              </w:rPr>
              <w:t>Sabden</w:t>
            </w:r>
            <w:proofErr w:type="spellEnd"/>
            <w:r>
              <w:rPr>
                <w:rFonts w:ascii="Calibri" w:hAnsi="Calibri"/>
                <w:szCs w:val="22"/>
              </w:rPr>
              <w:t xml:space="preserve"> Brook Court, Littlemoor House apartments and No.1 and No.2 Stubbins Vale. </w:t>
            </w:r>
          </w:p>
          <w:p w14:paraId="13C6F927" w14:textId="77777777" w:rsidR="003F6C60" w:rsidRDefault="003F6C60" w:rsidP="00C0704D">
            <w:pPr>
              <w:contextualSpacing/>
              <w:rPr>
                <w:rFonts w:ascii="Calibri" w:hAnsi="Calibri"/>
                <w:szCs w:val="22"/>
              </w:rPr>
            </w:pPr>
          </w:p>
          <w:p w14:paraId="23E1C8D1" w14:textId="7ADD4CC5" w:rsidR="003F6C60" w:rsidRDefault="003F6C60" w:rsidP="00C0704D">
            <w:pPr>
              <w:contextualSpacing/>
              <w:rPr>
                <w:rFonts w:ascii="Calibri" w:hAnsi="Calibri"/>
                <w:szCs w:val="22"/>
              </w:rPr>
            </w:pPr>
            <w:r>
              <w:rPr>
                <w:rFonts w:ascii="Calibri" w:hAnsi="Calibri"/>
                <w:szCs w:val="22"/>
              </w:rPr>
              <w:t xml:space="preserve">The bulk of the proposed development would be located to the Western side of the application dwelling, as such it is not expected that there would be any adverse impact for the neighbouring receptors of No.14 </w:t>
            </w:r>
            <w:proofErr w:type="spellStart"/>
            <w:r>
              <w:rPr>
                <w:rFonts w:ascii="Calibri" w:hAnsi="Calibri"/>
                <w:szCs w:val="22"/>
              </w:rPr>
              <w:t>Sabden</w:t>
            </w:r>
            <w:proofErr w:type="spellEnd"/>
            <w:r>
              <w:rPr>
                <w:rFonts w:ascii="Calibri" w:hAnsi="Calibri"/>
                <w:szCs w:val="22"/>
              </w:rPr>
              <w:t xml:space="preserve"> Brook Court resultant of the development. </w:t>
            </w:r>
          </w:p>
          <w:p w14:paraId="552C006A" w14:textId="77777777" w:rsidR="003F6C60" w:rsidRDefault="003F6C60" w:rsidP="00C0704D">
            <w:pPr>
              <w:contextualSpacing/>
              <w:rPr>
                <w:rFonts w:ascii="Calibri" w:hAnsi="Calibri"/>
                <w:szCs w:val="22"/>
              </w:rPr>
            </w:pPr>
          </w:p>
          <w:p w14:paraId="1D327BA1" w14:textId="0B672375" w:rsidR="003F6C60" w:rsidRDefault="004D59F5" w:rsidP="00C0704D">
            <w:pPr>
              <w:contextualSpacing/>
              <w:rPr>
                <w:rFonts w:ascii="Calibri" w:hAnsi="Calibri"/>
                <w:szCs w:val="22"/>
              </w:rPr>
            </w:pPr>
            <w:r>
              <w:rPr>
                <w:rFonts w:ascii="Calibri" w:hAnsi="Calibri"/>
                <w:szCs w:val="22"/>
              </w:rPr>
              <w:t xml:space="preserve">The proposed side extension will be located approximately 7.5 metres from the adjacent Littlemore House. This is a sufficient distance to mitigate any potential overbearing impact. Similarly, there is approximately 7 metres between the proposed two storey extension and No.1 and No.2 Stubbins Lane. Again, this is a sufficient distance to mitigate any significant sense of overbearing. There are no first-floor windows proposed in the side and rear elevations of the proposed extension. </w:t>
            </w:r>
          </w:p>
          <w:p w14:paraId="0DB485A3" w14:textId="05FD211C" w:rsidR="003F6C60" w:rsidRPr="00C0704D" w:rsidRDefault="003F6C60" w:rsidP="00C0704D">
            <w:pPr>
              <w:contextualSpacing/>
              <w:rPr>
                <w:rFonts w:ascii="Calibri" w:hAnsi="Calibri"/>
                <w:szCs w:val="22"/>
              </w:rPr>
            </w:pPr>
          </w:p>
        </w:tc>
      </w:tr>
      <w:tr w:rsidR="00C0704D" w:rsidRPr="00D2449B" w14:paraId="6754C065"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C6B42E" w14:textId="12CCF649" w:rsidR="00BF44B6"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643323C1" w14:textId="77777777" w:rsidR="00BF44B6" w:rsidRDefault="00BF44B6" w:rsidP="00BF44B6">
            <w:pPr>
              <w:jc w:val="both"/>
            </w:pPr>
          </w:p>
          <w:p w14:paraId="21F6A62C" w14:textId="59102464" w:rsidR="00F767A1" w:rsidRDefault="00F767A1" w:rsidP="00F767A1">
            <w:pPr>
              <w:contextualSpacing/>
              <w:rPr>
                <w:rFonts w:ascii="Calibri" w:hAnsi="Calibri"/>
                <w:bCs/>
                <w:szCs w:val="22"/>
              </w:rPr>
            </w:pPr>
            <w:r w:rsidRPr="000B5898">
              <w:rPr>
                <w:rFonts w:ascii="Calibri" w:hAnsi="Calibri"/>
                <w:bCs/>
                <w:szCs w:val="22"/>
              </w:rPr>
              <w:t>The single storey extension would be sited to the rear of the application dwelling and would be relatively well screened from view. However, the proposed two-storey side extension would be afforded high levels of visibility from within the public</w:t>
            </w:r>
            <w:r w:rsidR="00F17F58">
              <w:rPr>
                <w:rFonts w:ascii="Calibri" w:hAnsi="Calibri"/>
                <w:bCs/>
                <w:szCs w:val="22"/>
              </w:rPr>
              <w:t xml:space="preserve"> realm</w:t>
            </w:r>
            <w:r w:rsidRPr="000B5898">
              <w:rPr>
                <w:rFonts w:ascii="Calibri" w:hAnsi="Calibri"/>
                <w:bCs/>
                <w:szCs w:val="22"/>
              </w:rPr>
              <w:t xml:space="preserve">, as such careful consideration must be given </w:t>
            </w:r>
            <w:proofErr w:type="gramStart"/>
            <w:r w:rsidRPr="000B5898">
              <w:rPr>
                <w:rFonts w:ascii="Calibri" w:hAnsi="Calibri"/>
                <w:bCs/>
                <w:szCs w:val="22"/>
              </w:rPr>
              <w:t>in regard to</w:t>
            </w:r>
            <w:proofErr w:type="gramEnd"/>
            <w:r w:rsidRPr="000B5898">
              <w:rPr>
                <w:rFonts w:ascii="Calibri" w:hAnsi="Calibri"/>
                <w:bCs/>
                <w:szCs w:val="22"/>
              </w:rPr>
              <w:t xml:space="preserve"> the visual impact of the proposal. </w:t>
            </w:r>
          </w:p>
          <w:p w14:paraId="5C6175F2" w14:textId="77777777" w:rsidR="00F767A1" w:rsidRDefault="00F767A1" w:rsidP="00BF44B6">
            <w:pPr>
              <w:jc w:val="both"/>
            </w:pPr>
          </w:p>
          <w:p w14:paraId="18EF8B6B" w14:textId="189BF1E9" w:rsidR="00BF44B6" w:rsidRPr="00F767A1" w:rsidRDefault="00BF44B6" w:rsidP="00BF44B6">
            <w:pPr>
              <w:jc w:val="both"/>
              <w:rPr>
                <w:rFonts w:asciiTheme="minorHAnsi" w:hAnsiTheme="minorHAnsi" w:cstheme="minorHAnsi"/>
                <w:i/>
                <w:iCs/>
              </w:rPr>
            </w:pPr>
            <w:r w:rsidRPr="00F767A1">
              <w:rPr>
                <w:rFonts w:asciiTheme="minorHAnsi" w:hAnsiTheme="minorHAnsi" w:cstheme="minorHAnsi"/>
              </w:rPr>
              <w:t xml:space="preserve">Key statement EN2 of the </w:t>
            </w:r>
            <w:r w:rsidR="00F767A1" w:rsidRPr="00F767A1">
              <w:rPr>
                <w:rFonts w:asciiTheme="minorHAnsi" w:hAnsiTheme="minorHAnsi" w:cstheme="minorHAnsi"/>
              </w:rPr>
              <w:t>Ribble</w:t>
            </w:r>
            <w:r w:rsidRPr="00F767A1">
              <w:rPr>
                <w:rFonts w:asciiTheme="minorHAnsi" w:hAnsiTheme="minorHAnsi" w:cstheme="minorHAnsi"/>
              </w:rPr>
              <w:t xml:space="preserve"> </w:t>
            </w:r>
            <w:r w:rsidR="00F767A1" w:rsidRPr="00F767A1">
              <w:rPr>
                <w:rFonts w:asciiTheme="minorHAnsi" w:hAnsiTheme="minorHAnsi" w:cstheme="minorHAnsi"/>
              </w:rPr>
              <w:t>V</w:t>
            </w:r>
            <w:r w:rsidRPr="00F767A1">
              <w:rPr>
                <w:rFonts w:asciiTheme="minorHAnsi" w:hAnsiTheme="minorHAnsi" w:cstheme="minorHAnsi"/>
              </w:rPr>
              <w:t xml:space="preserve">alley </w:t>
            </w:r>
            <w:r w:rsidR="00F767A1" w:rsidRPr="00F767A1">
              <w:rPr>
                <w:rFonts w:asciiTheme="minorHAnsi" w:hAnsiTheme="minorHAnsi" w:cstheme="minorHAnsi"/>
              </w:rPr>
              <w:t>C</w:t>
            </w:r>
            <w:r w:rsidRPr="00F767A1">
              <w:rPr>
                <w:rFonts w:asciiTheme="minorHAnsi" w:hAnsiTheme="minorHAnsi" w:cstheme="minorHAnsi"/>
              </w:rPr>
              <w:t xml:space="preserve">ore </w:t>
            </w:r>
            <w:r w:rsidR="00F767A1" w:rsidRPr="00F767A1">
              <w:rPr>
                <w:rFonts w:asciiTheme="minorHAnsi" w:hAnsiTheme="minorHAnsi" w:cstheme="minorHAnsi"/>
              </w:rPr>
              <w:t>Strategy</w:t>
            </w:r>
            <w:r w:rsidRPr="00F767A1">
              <w:rPr>
                <w:rFonts w:asciiTheme="minorHAnsi" w:hAnsiTheme="minorHAnsi" w:cstheme="minorHAnsi"/>
              </w:rPr>
              <w:t xml:space="preserve"> stipulates that the </w:t>
            </w:r>
            <w:r w:rsidRPr="00F767A1">
              <w:rPr>
                <w:rFonts w:asciiTheme="minorHAnsi" w:hAnsiTheme="minorHAnsi" w:cstheme="minorHAnsi"/>
                <w:i/>
                <w:iCs/>
              </w:rPr>
              <w:t xml:space="preserve">landscape and character of the </w:t>
            </w:r>
            <w:r w:rsidR="00F767A1" w:rsidRPr="00F767A1">
              <w:rPr>
                <w:rFonts w:asciiTheme="minorHAnsi" w:hAnsiTheme="minorHAnsi" w:cstheme="minorHAnsi"/>
                <w:i/>
                <w:iCs/>
              </w:rPr>
              <w:t>F</w:t>
            </w:r>
            <w:r w:rsidRPr="00F767A1">
              <w:rPr>
                <w:rFonts w:asciiTheme="minorHAnsi" w:hAnsiTheme="minorHAnsi" w:cstheme="minorHAnsi"/>
                <w:i/>
                <w:iCs/>
              </w:rPr>
              <w:t xml:space="preserve">orest of </w:t>
            </w:r>
            <w:r w:rsidR="00F767A1" w:rsidRPr="00F767A1">
              <w:rPr>
                <w:rFonts w:asciiTheme="minorHAnsi" w:hAnsiTheme="minorHAnsi" w:cstheme="minorHAnsi"/>
                <w:i/>
                <w:iCs/>
              </w:rPr>
              <w:t>Bowland</w:t>
            </w:r>
            <w:r w:rsidRPr="00F767A1">
              <w:rPr>
                <w:rFonts w:asciiTheme="minorHAnsi" w:hAnsiTheme="minorHAnsi" w:cstheme="minorHAnsi"/>
                <w:i/>
                <w:iCs/>
              </w:rPr>
              <w:t xml:space="preserve"> </w:t>
            </w:r>
            <w:r w:rsidR="00F767A1" w:rsidRPr="00F767A1">
              <w:rPr>
                <w:rFonts w:asciiTheme="minorHAnsi" w:hAnsiTheme="minorHAnsi" w:cstheme="minorHAnsi"/>
                <w:i/>
                <w:iCs/>
              </w:rPr>
              <w:t>A</w:t>
            </w:r>
            <w:r w:rsidRPr="00F767A1">
              <w:rPr>
                <w:rFonts w:asciiTheme="minorHAnsi" w:hAnsiTheme="minorHAnsi" w:cstheme="minorHAnsi"/>
                <w:i/>
                <w:iCs/>
              </w:rPr>
              <w:t xml:space="preserve">rea of </w:t>
            </w:r>
            <w:r w:rsidR="00F767A1" w:rsidRPr="00F767A1">
              <w:rPr>
                <w:rFonts w:asciiTheme="minorHAnsi" w:hAnsiTheme="minorHAnsi" w:cstheme="minorHAnsi"/>
                <w:i/>
                <w:iCs/>
              </w:rPr>
              <w:t>O</w:t>
            </w:r>
            <w:r w:rsidRPr="00F767A1">
              <w:rPr>
                <w:rFonts w:asciiTheme="minorHAnsi" w:hAnsiTheme="minorHAnsi" w:cstheme="minorHAnsi"/>
                <w:i/>
                <w:iCs/>
              </w:rPr>
              <w:t>utstanding natural beauty will be protected, conserved and enhanced. Any development will need to contribute to the conservation of the natural beauty of the area.</w:t>
            </w:r>
          </w:p>
          <w:p w14:paraId="5F97F8DD" w14:textId="77777777" w:rsidR="00BF44B6" w:rsidRDefault="00BF44B6" w:rsidP="00EA09F9">
            <w:pPr>
              <w:pStyle w:val="Header"/>
              <w:tabs>
                <w:tab w:val="clear" w:pos="4153"/>
                <w:tab w:val="clear" w:pos="8306"/>
              </w:tabs>
              <w:contextualSpacing/>
              <w:jc w:val="both"/>
              <w:rPr>
                <w:rFonts w:ascii="Calibri" w:hAnsi="Calibri"/>
                <w:b/>
                <w:szCs w:val="22"/>
              </w:rPr>
            </w:pPr>
          </w:p>
          <w:p w14:paraId="6F2A32A9" w14:textId="2D7BF8F7" w:rsidR="00BF44B6" w:rsidRPr="00BF44B6" w:rsidRDefault="00BF44B6" w:rsidP="00EA09F9">
            <w:pPr>
              <w:pStyle w:val="Header"/>
              <w:tabs>
                <w:tab w:val="clear" w:pos="4153"/>
                <w:tab w:val="clear" w:pos="8306"/>
              </w:tabs>
              <w:contextualSpacing/>
              <w:jc w:val="both"/>
              <w:rPr>
                <w:rFonts w:ascii="Calibri" w:hAnsi="Calibri"/>
                <w:bCs/>
                <w:szCs w:val="22"/>
              </w:rPr>
            </w:pPr>
            <w:r w:rsidRPr="00BF44B6">
              <w:rPr>
                <w:rFonts w:ascii="Calibri" w:hAnsi="Calibri"/>
                <w:bCs/>
                <w:szCs w:val="22"/>
              </w:rPr>
              <w:t xml:space="preserve">Furthermore, Policy DMG1 of the Ribble Valley Core Strategy states that </w:t>
            </w:r>
            <w:proofErr w:type="spellStart"/>
            <w:r w:rsidRPr="00BF44B6">
              <w:rPr>
                <w:rFonts w:ascii="Calibri" w:hAnsi="Calibri"/>
                <w:bCs/>
                <w:szCs w:val="22"/>
              </w:rPr>
              <w:t>developemnt</w:t>
            </w:r>
            <w:proofErr w:type="spellEnd"/>
            <w:r w:rsidRPr="00BF44B6">
              <w:rPr>
                <w:rFonts w:ascii="Calibri" w:hAnsi="Calibri"/>
                <w:bCs/>
                <w:szCs w:val="22"/>
              </w:rPr>
              <w:t xml:space="preserve"> must</w:t>
            </w:r>
          </w:p>
          <w:p w14:paraId="1EA2857F" w14:textId="77777777" w:rsidR="00BF44B6" w:rsidRDefault="00BF44B6" w:rsidP="00BF44B6">
            <w:pPr>
              <w:jc w:val="both"/>
            </w:pPr>
          </w:p>
          <w:p w14:paraId="5BE827A9" w14:textId="133D5F10" w:rsidR="00BF44B6" w:rsidRPr="00BF44B6" w:rsidRDefault="00BF44B6" w:rsidP="00BF44B6">
            <w:pPr>
              <w:jc w:val="both"/>
              <w:rPr>
                <w:rFonts w:asciiTheme="minorHAnsi" w:hAnsiTheme="minorHAnsi" w:cstheme="minorHAnsi"/>
                <w:i/>
                <w:iCs/>
              </w:rPr>
            </w:pPr>
            <w:r w:rsidRPr="00BF44B6">
              <w:rPr>
                <w:rFonts w:asciiTheme="minorHAnsi" w:hAnsiTheme="minorHAnsi" w:cstheme="minorHAnsi"/>
                <w:i/>
                <w:iCs/>
              </w:rPr>
              <w:t xml:space="preserve">1. Be of a high standard of building design which considers the 8 building in context principles (from the </w:t>
            </w:r>
            <w:proofErr w:type="spellStart"/>
            <w:r w:rsidRPr="00BF44B6">
              <w:rPr>
                <w:rFonts w:asciiTheme="minorHAnsi" w:hAnsiTheme="minorHAnsi" w:cstheme="minorHAnsi"/>
                <w:i/>
                <w:iCs/>
              </w:rPr>
              <w:t>cabe</w:t>
            </w:r>
            <w:proofErr w:type="spellEnd"/>
            <w:r w:rsidRPr="00BF44B6">
              <w:rPr>
                <w:rFonts w:asciiTheme="minorHAnsi" w:hAnsiTheme="minorHAnsi" w:cstheme="minorHAnsi"/>
                <w:i/>
                <w:iCs/>
              </w:rPr>
              <w:t xml:space="preserve">/English heritage building on context toolkit. </w:t>
            </w:r>
          </w:p>
          <w:p w14:paraId="74466604" w14:textId="42566F13" w:rsidR="00BF44B6" w:rsidRPr="00BF44B6" w:rsidRDefault="00BF44B6" w:rsidP="00BF44B6">
            <w:pPr>
              <w:jc w:val="both"/>
              <w:rPr>
                <w:rFonts w:asciiTheme="minorHAnsi" w:hAnsiTheme="minorHAnsi" w:cstheme="minorHAnsi"/>
                <w:i/>
                <w:iCs/>
              </w:rPr>
            </w:pPr>
            <w:r w:rsidRPr="00BF44B6">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4BC4AFAC" w14:textId="7A94E1A4" w:rsidR="00BF44B6" w:rsidRPr="00BF44B6" w:rsidRDefault="00BF44B6" w:rsidP="00BF44B6">
            <w:pPr>
              <w:jc w:val="both"/>
              <w:rPr>
                <w:rFonts w:asciiTheme="minorHAnsi" w:hAnsiTheme="minorHAnsi" w:cstheme="minorHAnsi"/>
                <w:i/>
                <w:iCs/>
              </w:rPr>
            </w:pPr>
            <w:r w:rsidRPr="00BF44B6">
              <w:rPr>
                <w:rFonts w:asciiTheme="minorHAnsi" w:hAnsiTheme="minorHAnsi" w:cstheme="minorHAnsi"/>
                <w:i/>
                <w:iCs/>
              </w:rPr>
              <w:t xml:space="preserve">3. Consider the density, layout and relationship between buildings, which is of major importance. </w:t>
            </w:r>
            <w:proofErr w:type="gramStart"/>
            <w:r w:rsidRPr="00BF44B6">
              <w:rPr>
                <w:rFonts w:asciiTheme="minorHAnsi" w:hAnsiTheme="minorHAnsi" w:cstheme="minorHAnsi"/>
                <w:i/>
                <w:iCs/>
              </w:rPr>
              <w:t>Particular emphasis</w:t>
            </w:r>
            <w:proofErr w:type="gramEnd"/>
            <w:r w:rsidRPr="00BF44B6">
              <w:rPr>
                <w:rFonts w:asciiTheme="minorHAnsi" w:hAnsiTheme="minorHAnsi" w:cstheme="minorHAnsi"/>
                <w:i/>
                <w:iCs/>
              </w:rPr>
              <w:t xml:space="preserve"> will be placed on visual appearance and the relationship to surroundings, including impact on landscape character, as well as the effects of development on existing amenities.</w:t>
            </w:r>
          </w:p>
          <w:p w14:paraId="135A7564" w14:textId="77777777" w:rsidR="000B5898" w:rsidRDefault="000B5898" w:rsidP="005E1C6C">
            <w:pPr>
              <w:contextualSpacing/>
              <w:rPr>
                <w:rFonts w:ascii="Calibri" w:hAnsi="Calibri"/>
                <w:bCs/>
                <w:szCs w:val="22"/>
              </w:rPr>
            </w:pPr>
          </w:p>
          <w:p w14:paraId="485EE9D3" w14:textId="188BDCB5" w:rsidR="004D59F5" w:rsidRDefault="00F17F58" w:rsidP="00F17F58">
            <w:pPr>
              <w:contextualSpacing/>
              <w:rPr>
                <w:rFonts w:ascii="Calibri" w:hAnsi="Calibri"/>
                <w:bCs/>
                <w:szCs w:val="22"/>
              </w:rPr>
            </w:pPr>
            <w:r>
              <w:rPr>
                <w:rFonts w:ascii="Calibri" w:hAnsi="Calibri"/>
                <w:bCs/>
                <w:szCs w:val="22"/>
              </w:rPr>
              <w:t>The proposed two-stor</w:t>
            </w:r>
            <w:r w:rsidR="005820C4">
              <w:rPr>
                <w:rFonts w:ascii="Calibri" w:hAnsi="Calibri"/>
                <w:bCs/>
                <w:szCs w:val="22"/>
              </w:rPr>
              <w:t>e</w:t>
            </w:r>
            <w:r>
              <w:rPr>
                <w:rFonts w:ascii="Calibri" w:hAnsi="Calibri"/>
                <w:bCs/>
                <w:szCs w:val="22"/>
              </w:rPr>
              <w:t xml:space="preserve">y side extension will feature a pitched roof which will be set below the existing roof pitch, the </w:t>
            </w:r>
            <w:r w:rsidR="005820C4">
              <w:rPr>
                <w:rFonts w:ascii="Calibri" w:hAnsi="Calibri"/>
                <w:bCs/>
                <w:szCs w:val="22"/>
              </w:rPr>
              <w:t>extension</w:t>
            </w:r>
            <w:r>
              <w:rPr>
                <w:rFonts w:ascii="Calibri" w:hAnsi="Calibri"/>
                <w:bCs/>
                <w:szCs w:val="22"/>
              </w:rPr>
              <w:t xml:space="preserve"> will also feature a </w:t>
            </w:r>
            <w:r w:rsidR="005820C4">
              <w:rPr>
                <w:rFonts w:ascii="Calibri" w:hAnsi="Calibri"/>
                <w:bCs/>
                <w:szCs w:val="22"/>
              </w:rPr>
              <w:t>setback</w:t>
            </w:r>
            <w:r>
              <w:rPr>
                <w:rFonts w:ascii="Calibri" w:hAnsi="Calibri"/>
                <w:bCs/>
                <w:szCs w:val="22"/>
              </w:rPr>
              <w:t xml:space="preserve"> f</w:t>
            </w:r>
            <w:r w:rsidR="005820C4">
              <w:rPr>
                <w:rFonts w:ascii="Calibri" w:hAnsi="Calibri"/>
                <w:bCs/>
                <w:szCs w:val="22"/>
              </w:rPr>
              <w:t>ro</w:t>
            </w:r>
            <w:r>
              <w:rPr>
                <w:rFonts w:ascii="Calibri" w:hAnsi="Calibri"/>
                <w:bCs/>
                <w:szCs w:val="22"/>
              </w:rPr>
              <w:t xml:space="preserve">m the </w:t>
            </w:r>
            <w:r w:rsidR="005820C4">
              <w:rPr>
                <w:rFonts w:ascii="Calibri" w:hAnsi="Calibri"/>
                <w:bCs/>
                <w:szCs w:val="22"/>
              </w:rPr>
              <w:t xml:space="preserve">principal </w:t>
            </w:r>
            <w:r>
              <w:rPr>
                <w:rFonts w:ascii="Calibri" w:hAnsi="Calibri"/>
                <w:bCs/>
                <w:szCs w:val="22"/>
              </w:rPr>
              <w:t xml:space="preserve">elevation of the host dwelling. As a result, the </w:t>
            </w:r>
            <w:r w:rsidR="005820C4">
              <w:rPr>
                <w:rFonts w:ascii="Calibri" w:hAnsi="Calibri"/>
                <w:bCs/>
                <w:szCs w:val="22"/>
              </w:rPr>
              <w:t>extension</w:t>
            </w:r>
            <w:r>
              <w:rPr>
                <w:rFonts w:ascii="Calibri" w:hAnsi="Calibri"/>
                <w:bCs/>
                <w:szCs w:val="22"/>
              </w:rPr>
              <w:t xml:space="preserve"> will read </w:t>
            </w:r>
            <w:r w:rsidR="005820C4">
              <w:rPr>
                <w:rFonts w:ascii="Calibri" w:hAnsi="Calibri"/>
                <w:bCs/>
                <w:szCs w:val="22"/>
              </w:rPr>
              <w:t>entirely</w:t>
            </w:r>
            <w:r>
              <w:rPr>
                <w:rFonts w:ascii="Calibri" w:hAnsi="Calibri"/>
                <w:bCs/>
                <w:szCs w:val="22"/>
              </w:rPr>
              <w:t xml:space="preserve"> as a later addition and will take a </w:t>
            </w:r>
            <w:r w:rsidR="005820C4">
              <w:rPr>
                <w:rFonts w:ascii="Calibri" w:hAnsi="Calibri"/>
                <w:bCs/>
                <w:szCs w:val="22"/>
              </w:rPr>
              <w:t>subservient</w:t>
            </w:r>
            <w:r>
              <w:rPr>
                <w:rFonts w:ascii="Calibri" w:hAnsi="Calibri"/>
                <w:bCs/>
                <w:szCs w:val="22"/>
              </w:rPr>
              <w:t xml:space="preserve"> position to the host dwelling. At the rear of this two-</w:t>
            </w:r>
            <w:r w:rsidR="005820C4">
              <w:rPr>
                <w:rFonts w:ascii="Calibri" w:hAnsi="Calibri"/>
                <w:bCs/>
                <w:szCs w:val="22"/>
              </w:rPr>
              <w:t>storey</w:t>
            </w:r>
            <w:r>
              <w:rPr>
                <w:rFonts w:ascii="Calibri" w:hAnsi="Calibri"/>
                <w:bCs/>
                <w:szCs w:val="22"/>
              </w:rPr>
              <w:t xml:space="preserve"> element, there will </w:t>
            </w:r>
            <w:r w:rsidR="005820C4">
              <w:rPr>
                <w:rFonts w:ascii="Calibri" w:hAnsi="Calibri"/>
                <w:bCs/>
                <w:szCs w:val="22"/>
              </w:rPr>
              <w:t>be</w:t>
            </w:r>
            <w:r>
              <w:rPr>
                <w:rFonts w:ascii="Calibri" w:hAnsi="Calibri"/>
                <w:bCs/>
                <w:szCs w:val="22"/>
              </w:rPr>
              <w:t xml:space="preserve"> a single </w:t>
            </w:r>
            <w:r w:rsidR="005820C4">
              <w:rPr>
                <w:rFonts w:ascii="Calibri" w:hAnsi="Calibri"/>
                <w:bCs/>
                <w:szCs w:val="22"/>
              </w:rPr>
              <w:t>storey</w:t>
            </w:r>
            <w:r>
              <w:rPr>
                <w:rFonts w:ascii="Calibri" w:hAnsi="Calibri"/>
                <w:bCs/>
                <w:szCs w:val="22"/>
              </w:rPr>
              <w:t xml:space="preserve"> lean-to </w:t>
            </w:r>
            <w:r w:rsidR="005820C4">
              <w:rPr>
                <w:rFonts w:ascii="Calibri" w:hAnsi="Calibri"/>
                <w:bCs/>
                <w:szCs w:val="22"/>
              </w:rPr>
              <w:t>extension</w:t>
            </w:r>
            <w:r>
              <w:rPr>
                <w:rFonts w:ascii="Calibri" w:hAnsi="Calibri"/>
                <w:bCs/>
                <w:szCs w:val="22"/>
              </w:rPr>
              <w:t xml:space="preserve">. </w:t>
            </w:r>
            <w:r w:rsidR="005820C4">
              <w:rPr>
                <w:rFonts w:ascii="Calibri" w:hAnsi="Calibri"/>
                <w:bCs/>
                <w:szCs w:val="22"/>
              </w:rPr>
              <w:t xml:space="preserve">Whilst it would have been considered better design to have a greater separation distance between the eaves of the two-storey element and the pitch of the lean-to extension roof, it is not considered that this alone would warrant refusal. </w:t>
            </w:r>
          </w:p>
          <w:p w14:paraId="4E4E0BB5" w14:textId="77777777" w:rsidR="005820C4" w:rsidRDefault="005820C4" w:rsidP="00F17F58">
            <w:pPr>
              <w:contextualSpacing/>
              <w:rPr>
                <w:rFonts w:ascii="Calibri" w:hAnsi="Calibri"/>
                <w:bCs/>
                <w:szCs w:val="22"/>
              </w:rPr>
            </w:pPr>
          </w:p>
          <w:p w14:paraId="40050E66" w14:textId="2AAB16A8" w:rsidR="005820C4" w:rsidRDefault="005820C4" w:rsidP="00F17F58">
            <w:pPr>
              <w:contextualSpacing/>
              <w:rPr>
                <w:rFonts w:ascii="Calibri" w:hAnsi="Calibri"/>
                <w:bCs/>
                <w:szCs w:val="22"/>
              </w:rPr>
            </w:pPr>
            <w:r>
              <w:rPr>
                <w:rFonts w:ascii="Calibri" w:hAnsi="Calibri"/>
                <w:bCs/>
                <w:szCs w:val="22"/>
              </w:rPr>
              <w:lastRenderedPageBreak/>
              <w:t xml:space="preserve">The second single-storey element will replace the existing conservatory at the property and will project from the original rear elevation. The footprint will largely reflect the existing conservatory and therefore is considered acceptable in this respect. The design would have been more cohesive had both single-storey elements obtained the same roof type. However, it is recognised that this would have been difficult given the intention to utilise the same footprint as the existing conservatory. As such, the proposed development is considered acceptable. </w:t>
            </w:r>
          </w:p>
          <w:p w14:paraId="101A8994" w14:textId="77777777" w:rsidR="005820C4" w:rsidRDefault="005820C4" w:rsidP="00F17F58">
            <w:pPr>
              <w:contextualSpacing/>
              <w:rPr>
                <w:rFonts w:ascii="Calibri" w:hAnsi="Calibri"/>
                <w:bCs/>
                <w:szCs w:val="22"/>
              </w:rPr>
            </w:pPr>
          </w:p>
          <w:p w14:paraId="0B6D365B" w14:textId="7663956F" w:rsidR="005820C4" w:rsidRDefault="005820C4" w:rsidP="00F17F58">
            <w:pPr>
              <w:contextualSpacing/>
              <w:rPr>
                <w:rFonts w:ascii="Calibri" w:hAnsi="Calibri"/>
                <w:bCs/>
                <w:szCs w:val="22"/>
              </w:rPr>
            </w:pPr>
            <w:r>
              <w:rPr>
                <w:rFonts w:ascii="Calibri" w:hAnsi="Calibri"/>
                <w:bCs/>
                <w:szCs w:val="22"/>
              </w:rPr>
              <w:t xml:space="preserve">In respect of materials, the </w:t>
            </w:r>
            <w:r w:rsidR="00C4638A">
              <w:rPr>
                <w:rFonts w:ascii="Calibri" w:hAnsi="Calibri"/>
                <w:bCs/>
                <w:szCs w:val="22"/>
              </w:rPr>
              <w:t>proposed</w:t>
            </w:r>
            <w:r>
              <w:rPr>
                <w:rFonts w:ascii="Calibri" w:hAnsi="Calibri"/>
                <w:bCs/>
                <w:szCs w:val="22"/>
              </w:rPr>
              <w:t xml:space="preserve"> develop</w:t>
            </w:r>
            <w:r w:rsidR="00A72423">
              <w:rPr>
                <w:rFonts w:ascii="Calibri" w:hAnsi="Calibri"/>
                <w:bCs/>
                <w:szCs w:val="22"/>
              </w:rPr>
              <w:t>me</w:t>
            </w:r>
            <w:r>
              <w:rPr>
                <w:rFonts w:ascii="Calibri" w:hAnsi="Calibri"/>
                <w:bCs/>
                <w:szCs w:val="22"/>
              </w:rPr>
              <w:t>nt</w:t>
            </w:r>
            <w:r w:rsidR="006B6EED">
              <w:rPr>
                <w:rFonts w:ascii="Calibri" w:hAnsi="Calibri"/>
                <w:bCs/>
                <w:szCs w:val="22"/>
              </w:rPr>
              <w:t xml:space="preserve"> is to</w:t>
            </w:r>
            <w:r>
              <w:rPr>
                <w:rFonts w:ascii="Calibri" w:hAnsi="Calibri"/>
                <w:bCs/>
                <w:szCs w:val="22"/>
              </w:rPr>
              <w:t xml:space="preserve"> </w:t>
            </w:r>
            <w:r w:rsidR="00A72423">
              <w:rPr>
                <w:rFonts w:ascii="Calibri" w:hAnsi="Calibri"/>
                <w:bCs/>
                <w:szCs w:val="22"/>
              </w:rPr>
              <w:t xml:space="preserve">be faced in coursed stone to match the existing dwelling, with concrete roof tiles and uPVC windows. This is consistent with the application dwelling and surrounding properties in the vicinity. The proposal will therefore integrate sufficiently into the street scene. </w:t>
            </w:r>
          </w:p>
          <w:p w14:paraId="10A3648A" w14:textId="6F2C9324" w:rsidR="00A72423" w:rsidRPr="003F6C60" w:rsidRDefault="00A72423" w:rsidP="00F17F58">
            <w:pPr>
              <w:contextualSpacing/>
              <w:rPr>
                <w:rFonts w:ascii="Calibri" w:hAnsi="Calibri"/>
                <w:bCs/>
                <w:szCs w:val="22"/>
              </w:rPr>
            </w:pPr>
          </w:p>
        </w:tc>
      </w:tr>
      <w:tr w:rsidR="00824DB6" w:rsidRPr="00D2449B" w14:paraId="673C0DDB"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Pr="006B6EED" w:rsidRDefault="00824DB6" w:rsidP="00EA09F9">
            <w:pPr>
              <w:pStyle w:val="Header"/>
              <w:tabs>
                <w:tab w:val="clear" w:pos="4153"/>
                <w:tab w:val="clear" w:pos="8306"/>
              </w:tabs>
              <w:contextualSpacing/>
              <w:jc w:val="both"/>
              <w:rPr>
                <w:rFonts w:ascii="Calibri" w:hAnsi="Calibri"/>
                <w:bCs/>
                <w:szCs w:val="22"/>
              </w:rPr>
            </w:pPr>
          </w:p>
          <w:p w14:paraId="2A9BEA17" w14:textId="57728625" w:rsidR="007722AB" w:rsidRPr="006B6EED" w:rsidRDefault="00A72423" w:rsidP="00F17F58">
            <w:pPr>
              <w:rPr>
                <w:rFonts w:ascii="Calibri" w:hAnsi="Calibri"/>
                <w:bCs/>
                <w:szCs w:val="22"/>
              </w:rPr>
            </w:pPr>
            <w:r w:rsidRPr="006B6EED">
              <w:rPr>
                <w:rFonts w:ascii="Calibri" w:hAnsi="Calibri"/>
                <w:bCs/>
                <w:szCs w:val="22"/>
              </w:rPr>
              <w:t xml:space="preserve">LCC Highways have been </w:t>
            </w:r>
            <w:r w:rsidR="006B6EED" w:rsidRPr="006B6EED">
              <w:rPr>
                <w:rFonts w:ascii="Calibri" w:hAnsi="Calibri"/>
                <w:bCs/>
                <w:szCs w:val="22"/>
              </w:rPr>
              <w:t>consulted</w:t>
            </w:r>
            <w:r w:rsidRPr="006B6EED">
              <w:rPr>
                <w:rFonts w:ascii="Calibri" w:hAnsi="Calibri"/>
                <w:bCs/>
                <w:szCs w:val="22"/>
              </w:rPr>
              <w:t xml:space="preserve"> in relation </w:t>
            </w:r>
            <w:r w:rsidR="006B6EED" w:rsidRPr="006B6EED">
              <w:rPr>
                <w:rFonts w:ascii="Calibri" w:hAnsi="Calibri"/>
                <w:bCs/>
                <w:szCs w:val="22"/>
              </w:rPr>
              <w:t xml:space="preserve">to the proposal and raise no objection subject to condition relating to the construction of the new parking area. </w:t>
            </w:r>
            <w:r w:rsidR="006B6EED">
              <w:rPr>
                <w:rFonts w:ascii="Calibri" w:hAnsi="Calibri"/>
                <w:bCs/>
                <w:szCs w:val="22"/>
              </w:rPr>
              <w:t xml:space="preserve">The plans demonstrate that following the alteration of the driveway to car parking spaces can be provided on site to meet highway standards. </w:t>
            </w:r>
          </w:p>
          <w:p w14:paraId="337694ED" w14:textId="21B141E0" w:rsidR="006B6EED" w:rsidRDefault="006B6EED" w:rsidP="00F17F58">
            <w:pPr>
              <w:rPr>
                <w:rFonts w:ascii="Calibri" w:hAnsi="Calibri"/>
                <w:b/>
                <w:szCs w:val="22"/>
              </w:rPr>
            </w:pPr>
          </w:p>
        </w:tc>
      </w:tr>
      <w:tr w:rsidR="00C0704D" w:rsidRPr="00D2449B" w14:paraId="6D877C31"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8FDA155" w14:textId="0E5E41F3" w:rsidR="006627D5" w:rsidRPr="006627D5" w:rsidRDefault="006627D5" w:rsidP="00EA09F9">
            <w:pPr>
              <w:pStyle w:val="Header"/>
              <w:tabs>
                <w:tab w:val="clear" w:pos="4153"/>
                <w:tab w:val="clear" w:pos="8306"/>
              </w:tabs>
              <w:contextualSpacing/>
              <w:jc w:val="both"/>
              <w:rPr>
                <w:rFonts w:ascii="Calibri" w:hAnsi="Calibri"/>
                <w:b/>
                <w:szCs w:val="22"/>
                <w:u w:val="single"/>
              </w:rPr>
            </w:pPr>
            <w:r w:rsidRPr="006627D5">
              <w:rPr>
                <w:rFonts w:ascii="Calibri" w:hAnsi="Calibri"/>
                <w:b/>
                <w:szCs w:val="22"/>
                <w:u w:val="single"/>
              </w:rPr>
              <w:t xml:space="preserve">Bats. </w:t>
            </w:r>
          </w:p>
          <w:p w14:paraId="731A86E1" w14:textId="77777777" w:rsidR="006627D5" w:rsidRDefault="006627D5" w:rsidP="00E46243">
            <w:pPr>
              <w:contextualSpacing/>
              <w:rPr>
                <w:rFonts w:ascii="Calibri" w:hAnsi="Calibri"/>
                <w:bCs/>
                <w:szCs w:val="22"/>
              </w:rPr>
            </w:pPr>
          </w:p>
          <w:p w14:paraId="67F1CA48" w14:textId="778637E0" w:rsidR="00C0704D" w:rsidRDefault="004D59F5" w:rsidP="00E46243">
            <w:pPr>
              <w:contextualSpacing/>
              <w:rPr>
                <w:rFonts w:ascii="Calibri" w:hAnsi="Calibri"/>
                <w:bCs/>
                <w:szCs w:val="22"/>
              </w:rPr>
            </w:pPr>
            <w:r w:rsidRPr="004D59F5">
              <w:rPr>
                <w:rFonts w:ascii="Calibri" w:hAnsi="Calibri"/>
                <w:bCs/>
                <w:szCs w:val="22"/>
              </w:rPr>
              <w:t xml:space="preserve">A preliminary bat roost assessment was conducted at the application dwelling on 09.04.2024. The survey concluded that no evidence of bats was recorded and the building itself offers negligible roosting potential. However, it is considered that there is an opportunity to boost roosting potential via the installation of artificial bat boxes. </w:t>
            </w:r>
          </w:p>
          <w:p w14:paraId="22D49538" w14:textId="77777777" w:rsidR="006627D5" w:rsidRDefault="006627D5" w:rsidP="00E46243">
            <w:pPr>
              <w:contextualSpacing/>
              <w:rPr>
                <w:rFonts w:ascii="Calibri" w:hAnsi="Calibri"/>
                <w:bCs/>
                <w:szCs w:val="22"/>
              </w:rPr>
            </w:pPr>
          </w:p>
          <w:p w14:paraId="0C0980DB" w14:textId="7161E02C" w:rsidR="006627D5" w:rsidRDefault="006627D5" w:rsidP="00E46243">
            <w:pPr>
              <w:contextualSpacing/>
              <w:rPr>
                <w:rFonts w:ascii="Calibri" w:hAnsi="Calibri"/>
                <w:b/>
                <w:szCs w:val="22"/>
                <w:u w:val="single"/>
              </w:rPr>
            </w:pPr>
            <w:r w:rsidRPr="006627D5">
              <w:rPr>
                <w:rFonts w:ascii="Calibri" w:hAnsi="Calibri"/>
                <w:b/>
                <w:szCs w:val="22"/>
                <w:u w:val="single"/>
              </w:rPr>
              <w:t xml:space="preserve">Biodiversity Net Gain. </w:t>
            </w:r>
          </w:p>
          <w:p w14:paraId="3F9F7658" w14:textId="77777777" w:rsidR="006627D5" w:rsidRDefault="006627D5" w:rsidP="00E46243">
            <w:pPr>
              <w:contextualSpacing/>
              <w:rPr>
                <w:rFonts w:ascii="Calibri" w:hAnsi="Calibri"/>
                <w:b/>
                <w:szCs w:val="22"/>
                <w:u w:val="single"/>
              </w:rPr>
            </w:pPr>
          </w:p>
          <w:p w14:paraId="07B933DA" w14:textId="4D684D2B" w:rsidR="006627D5" w:rsidRPr="006627D5" w:rsidRDefault="006627D5" w:rsidP="00E46243">
            <w:pPr>
              <w:contextualSpacing/>
              <w:rPr>
                <w:rFonts w:ascii="Calibri" w:hAnsi="Calibri"/>
                <w:bCs/>
                <w:szCs w:val="22"/>
              </w:rPr>
            </w:pPr>
            <w:r w:rsidRPr="006627D5">
              <w:rPr>
                <w:rFonts w:ascii="Calibri" w:hAnsi="Calibri"/>
                <w:bCs/>
                <w:szCs w:val="22"/>
              </w:rPr>
              <w:t>The development is exempt from having to achieve the mandatory Biodiversity Net Gain requirement as it is a householder application.</w:t>
            </w:r>
          </w:p>
          <w:p w14:paraId="6337C4D8" w14:textId="20B62DD7" w:rsidR="004D59F5" w:rsidRDefault="004D59F5" w:rsidP="00E46243">
            <w:pPr>
              <w:contextualSpacing/>
              <w:rPr>
                <w:rFonts w:ascii="Calibri" w:hAnsi="Calibri"/>
                <w:b/>
                <w:szCs w:val="22"/>
              </w:rPr>
            </w:pPr>
          </w:p>
        </w:tc>
      </w:tr>
      <w:tr w:rsidR="00C0704D" w:rsidRPr="00D2449B" w14:paraId="0A9D02B4"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D59F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4D59F5">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4FE5508A"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806692">
              <w:rPr>
                <w:rFonts w:asciiTheme="minorHAnsi" w:hAnsiTheme="minorHAnsi"/>
                <w:bCs/>
                <w:szCs w:val="22"/>
              </w:rPr>
              <w:t xml:space="preserve">approved subject to the imposition of conditions. </w:t>
            </w:r>
          </w:p>
        </w:tc>
      </w:tr>
    </w:tbl>
    <w:p w14:paraId="513FB541" w14:textId="77777777" w:rsidR="00A82115" w:rsidRPr="00D2449B" w:rsidRDefault="00A82115">
      <w:pPr>
        <w:rPr>
          <w:rFonts w:ascii="Calibri" w:hAnsi="Calibri"/>
          <w:szCs w:val="22"/>
        </w:rPr>
      </w:pPr>
    </w:p>
    <w:sectPr w:rsidR="00A8211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898"/>
    <w:rsid w:val="000B5CB5"/>
    <w:rsid w:val="00130035"/>
    <w:rsid w:val="00195C27"/>
    <w:rsid w:val="001B228F"/>
    <w:rsid w:val="001D4F7A"/>
    <w:rsid w:val="00250879"/>
    <w:rsid w:val="0029334A"/>
    <w:rsid w:val="002A01CF"/>
    <w:rsid w:val="002C6277"/>
    <w:rsid w:val="002F2580"/>
    <w:rsid w:val="00321B6E"/>
    <w:rsid w:val="003F6C60"/>
    <w:rsid w:val="0040452A"/>
    <w:rsid w:val="00440CB6"/>
    <w:rsid w:val="0046548C"/>
    <w:rsid w:val="004875BF"/>
    <w:rsid w:val="004947BB"/>
    <w:rsid w:val="004A30D6"/>
    <w:rsid w:val="004A5EA9"/>
    <w:rsid w:val="004C2434"/>
    <w:rsid w:val="004D59F5"/>
    <w:rsid w:val="004E03EF"/>
    <w:rsid w:val="004F0649"/>
    <w:rsid w:val="00510FA2"/>
    <w:rsid w:val="00514353"/>
    <w:rsid w:val="00535FAF"/>
    <w:rsid w:val="00556ECD"/>
    <w:rsid w:val="005644F8"/>
    <w:rsid w:val="005820C4"/>
    <w:rsid w:val="005E1C6C"/>
    <w:rsid w:val="005E65DF"/>
    <w:rsid w:val="00616F9B"/>
    <w:rsid w:val="006627D5"/>
    <w:rsid w:val="00692B60"/>
    <w:rsid w:val="006A71AD"/>
    <w:rsid w:val="006B6EED"/>
    <w:rsid w:val="006C2BFA"/>
    <w:rsid w:val="006F5A0C"/>
    <w:rsid w:val="006F6849"/>
    <w:rsid w:val="0070054B"/>
    <w:rsid w:val="007137BA"/>
    <w:rsid w:val="00736DEB"/>
    <w:rsid w:val="0076120A"/>
    <w:rsid w:val="007722AB"/>
    <w:rsid w:val="00772E32"/>
    <w:rsid w:val="00773A66"/>
    <w:rsid w:val="00776AE2"/>
    <w:rsid w:val="007C791C"/>
    <w:rsid w:val="007D7DF4"/>
    <w:rsid w:val="007E031B"/>
    <w:rsid w:val="007E0D23"/>
    <w:rsid w:val="007E2B4D"/>
    <w:rsid w:val="007F16D6"/>
    <w:rsid w:val="00806692"/>
    <w:rsid w:val="00811771"/>
    <w:rsid w:val="00824DB6"/>
    <w:rsid w:val="00837F4F"/>
    <w:rsid w:val="008542DE"/>
    <w:rsid w:val="00894B4B"/>
    <w:rsid w:val="008A28C8"/>
    <w:rsid w:val="008A3CC1"/>
    <w:rsid w:val="0091427B"/>
    <w:rsid w:val="00992C6F"/>
    <w:rsid w:val="009F4443"/>
    <w:rsid w:val="00A34D30"/>
    <w:rsid w:val="00A42E82"/>
    <w:rsid w:val="00A579BB"/>
    <w:rsid w:val="00A610B6"/>
    <w:rsid w:val="00A63D55"/>
    <w:rsid w:val="00A72423"/>
    <w:rsid w:val="00A76493"/>
    <w:rsid w:val="00A82115"/>
    <w:rsid w:val="00A95D89"/>
    <w:rsid w:val="00B23419"/>
    <w:rsid w:val="00B75010"/>
    <w:rsid w:val="00B93EB5"/>
    <w:rsid w:val="00BD3F03"/>
    <w:rsid w:val="00BF44B6"/>
    <w:rsid w:val="00C0704D"/>
    <w:rsid w:val="00C25722"/>
    <w:rsid w:val="00C3742B"/>
    <w:rsid w:val="00C4638A"/>
    <w:rsid w:val="00C618DB"/>
    <w:rsid w:val="00C650D3"/>
    <w:rsid w:val="00CB5EA1"/>
    <w:rsid w:val="00D11007"/>
    <w:rsid w:val="00D17EB1"/>
    <w:rsid w:val="00D2449B"/>
    <w:rsid w:val="00D54E67"/>
    <w:rsid w:val="00DD62F6"/>
    <w:rsid w:val="00E46243"/>
    <w:rsid w:val="00E66534"/>
    <w:rsid w:val="00E72F6C"/>
    <w:rsid w:val="00EA09F9"/>
    <w:rsid w:val="00EA72EF"/>
    <w:rsid w:val="00EC23C7"/>
    <w:rsid w:val="00ED00B7"/>
    <w:rsid w:val="00EF44E6"/>
    <w:rsid w:val="00F17F58"/>
    <w:rsid w:val="00F370B6"/>
    <w:rsid w:val="00F55C14"/>
    <w:rsid w:val="00F767A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2024-10-22T15:10:00Z</cp:lastPrinted>
  <dcterms:created xsi:type="dcterms:W3CDTF">2024-10-22T15:10:00Z</dcterms:created>
  <dcterms:modified xsi:type="dcterms:W3CDTF">2024-10-22T15:10:00Z</dcterms:modified>
</cp:coreProperties>
</file>