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0782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38BFBB" w:rsidR="00837F4F" w:rsidRPr="00D2449B" w:rsidRDefault="00F1621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9725C3" w:rsidR="00837F4F" w:rsidRPr="00D2449B" w:rsidRDefault="006C474D" w:rsidP="00D2449B">
            <w:pPr>
              <w:jc w:val="center"/>
              <w:rPr>
                <w:rFonts w:ascii="Calibri" w:hAnsi="Calibri"/>
                <w:b/>
                <w:szCs w:val="22"/>
              </w:rPr>
            </w:pPr>
            <w:r>
              <w:rPr>
                <w:rFonts w:ascii="Calibri" w:hAnsi="Calibri"/>
                <w:b/>
                <w:szCs w:val="22"/>
              </w:rPr>
              <w:t>21/11/24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8F94EDD" w:rsidR="00837F4F" w:rsidRPr="00D2449B" w:rsidRDefault="00107824"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51B7512" w:rsidR="00837F4F" w:rsidRPr="00D2449B" w:rsidRDefault="00107824" w:rsidP="00D2449B">
            <w:pPr>
              <w:jc w:val="center"/>
              <w:rPr>
                <w:rFonts w:ascii="Calibri" w:hAnsi="Calibri"/>
                <w:b/>
                <w:szCs w:val="22"/>
              </w:rPr>
            </w:pPr>
            <w:r>
              <w:rPr>
                <w:rFonts w:ascii="Calibri" w:hAnsi="Calibri"/>
                <w:b/>
                <w:szCs w:val="22"/>
              </w:rPr>
              <w:t>21/11/24</w:t>
            </w:r>
          </w:p>
        </w:tc>
      </w:tr>
      <w:tr w:rsidR="004A5EA9" w:rsidRPr="00D2449B" w14:paraId="2094A164" w14:textId="77777777" w:rsidTr="00107824">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078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2B0604C" w:rsidR="004A5EA9" w:rsidRPr="00250879" w:rsidRDefault="00F16217" w:rsidP="008542DE">
            <w:pPr>
              <w:rPr>
                <w:rFonts w:ascii="Calibri" w:hAnsi="Calibri"/>
                <w:color w:val="548DD4" w:themeColor="text2" w:themeTint="99"/>
                <w:szCs w:val="22"/>
              </w:rPr>
            </w:pPr>
            <w:r w:rsidRPr="00F16217">
              <w:rPr>
                <w:rFonts w:ascii="Calibri" w:hAnsi="Calibri"/>
                <w:szCs w:val="22"/>
              </w:rPr>
              <w:t>3/2024/0747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078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6D3279C" w:rsidR="00824DB6" w:rsidRPr="00C0704D" w:rsidRDefault="00F16217" w:rsidP="002C6277">
            <w:pPr>
              <w:rPr>
                <w:rFonts w:ascii="Calibri" w:hAnsi="Calibri"/>
                <w:szCs w:val="22"/>
              </w:rPr>
            </w:pPr>
            <w:r w:rsidRPr="00F16217">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F16217" w:rsidRDefault="00824DB6" w:rsidP="002C6277">
            <w:pPr>
              <w:rPr>
                <w:rFonts w:ascii="Calibri" w:hAnsi="Calibri"/>
                <w:b/>
                <w:bCs/>
                <w:szCs w:val="22"/>
              </w:rPr>
            </w:pPr>
            <w:r w:rsidRPr="00F16217">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466DE9B" w:rsidR="00824DB6" w:rsidRPr="00F16217" w:rsidRDefault="00F16217" w:rsidP="002C6277">
            <w:pPr>
              <w:rPr>
                <w:rFonts w:ascii="Calibri" w:hAnsi="Calibri"/>
                <w:szCs w:val="22"/>
              </w:rPr>
            </w:pPr>
            <w:r w:rsidRPr="00F16217">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078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D7EFE28" w:rsidR="004A5EA9" w:rsidRPr="00250879" w:rsidRDefault="00F16217" w:rsidP="00811771">
            <w:pPr>
              <w:rPr>
                <w:rFonts w:ascii="Calibri" w:hAnsi="Calibri"/>
                <w:color w:val="548DD4" w:themeColor="text2" w:themeTint="99"/>
                <w:szCs w:val="22"/>
              </w:rPr>
            </w:pPr>
            <w:r w:rsidRPr="00F16217">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0782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1F5BCC7" w:rsidR="004A5EA9" w:rsidRPr="00D2449B" w:rsidRDefault="00923664" w:rsidP="002A01CF">
            <w:pPr>
              <w:jc w:val="center"/>
              <w:rPr>
                <w:rFonts w:ascii="Calibri" w:hAnsi="Calibri"/>
                <w:b/>
                <w:szCs w:val="22"/>
              </w:rPr>
            </w:pPr>
            <w:r>
              <w:rPr>
                <w:rFonts w:ascii="Calibri" w:hAnsi="Calibri"/>
                <w:b/>
                <w:szCs w:val="22"/>
              </w:rPr>
              <w:t>REFUSAL</w:t>
            </w:r>
          </w:p>
        </w:tc>
      </w:tr>
      <w:tr w:rsidR="004A5EA9" w:rsidRPr="00D2449B" w14:paraId="7813B96A" w14:textId="77777777" w:rsidTr="001078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078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5D07FE" w:rsidR="004A5EA9" w:rsidRPr="002C6277" w:rsidRDefault="00F16217">
            <w:pPr>
              <w:rPr>
                <w:rFonts w:ascii="Calibri" w:hAnsi="Calibri"/>
                <w:szCs w:val="22"/>
              </w:rPr>
            </w:pPr>
            <w:r>
              <w:rPr>
                <w:rFonts w:ascii="Calibri" w:hAnsi="Calibri"/>
                <w:szCs w:val="22"/>
              </w:rPr>
              <w:t xml:space="preserve">Certificate of Lawfulness for proposed decking and ramp to rear. </w:t>
            </w:r>
          </w:p>
        </w:tc>
      </w:tr>
      <w:tr w:rsidR="002A01CF" w:rsidRPr="00D2449B" w14:paraId="52988241" w14:textId="77777777" w:rsidTr="001078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04319E" w:rsidR="002A01CF" w:rsidRPr="002C6277" w:rsidRDefault="00F16217" w:rsidP="00A42E82">
            <w:pPr>
              <w:rPr>
                <w:rFonts w:ascii="Calibri" w:hAnsi="Calibri"/>
                <w:szCs w:val="22"/>
              </w:rPr>
            </w:pPr>
            <w:r>
              <w:rPr>
                <w:rFonts w:ascii="Calibri" w:hAnsi="Calibri"/>
                <w:szCs w:val="22"/>
              </w:rPr>
              <w:t xml:space="preserve">22 Green Drive, Clitheroe, BB7 2BB </w:t>
            </w:r>
          </w:p>
        </w:tc>
      </w:tr>
      <w:tr w:rsidR="00A95D89" w:rsidRPr="00D2449B" w14:paraId="3FB99B2E" w14:textId="77777777" w:rsidTr="001078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078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0ED7D6" w:rsidR="002A01CF" w:rsidRPr="00F16217" w:rsidRDefault="00F16217">
            <w:pPr>
              <w:rPr>
                <w:rFonts w:ascii="Calibri" w:hAnsi="Calibri"/>
                <w:bCs/>
                <w:szCs w:val="22"/>
              </w:rPr>
            </w:pPr>
            <w:r>
              <w:rPr>
                <w:rFonts w:ascii="Calibri" w:hAnsi="Calibri"/>
                <w:bCs/>
                <w:szCs w:val="22"/>
              </w:rPr>
              <w:t>N/A</w:t>
            </w:r>
          </w:p>
        </w:tc>
      </w:tr>
      <w:tr w:rsidR="00C618DB" w:rsidRPr="00D2449B" w14:paraId="639E958B" w14:textId="77777777" w:rsidTr="001078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078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078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19A5E3B" w:rsidR="002A01CF" w:rsidRPr="00F16217" w:rsidRDefault="00F16217">
            <w:pPr>
              <w:rPr>
                <w:rFonts w:ascii="Calibri" w:hAnsi="Calibri"/>
                <w:bCs/>
                <w:szCs w:val="22"/>
              </w:rPr>
            </w:pPr>
            <w:r>
              <w:rPr>
                <w:rFonts w:ascii="Calibri" w:hAnsi="Calibri"/>
                <w:bCs/>
                <w:szCs w:val="22"/>
              </w:rPr>
              <w:t>N/A</w:t>
            </w:r>
          </w:p>
        </w:tc>
      </w:tr>
      <w:tr w:rsidR="00C0704D" w:rsidRPr="00D2449B" w14:paraId="62663AAF"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078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C9E8FF5" w:rsidR="00C0704D" w:rsidRPr="00C0704D" w:rsidRDefault="00F16217" w:rsidP="00692B60">
            <w:pPr>
              <w:rPr>
                <w:rFonts w:ascii="Calibri" w:hAnsi="Calibri"/>
                <w:szCs w:val="22"/>
              </w:rPr>
            </w:pPr>
            <w:r>
              <w:rPr>
                <w:rFonts w:ascii="Calibri" w:hAnsi="Calibri"/>
                <w:szCs w:val="22"/>
              </w:rPr>
              <w:t>N/A</w:t>
            </w:r>
          </w:p>
        </w:tc>
      </w:tr>
      <w:tr w:rsidR="00C0704D" w:rsidRPr="00D2449B" w14:paraId="1CDFA4C3" w14:textId="77777777" w:rsidTr="001078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4C318E" w14:textId="4376E9CB" w:rsidR="008542DE" w:rsidRPr="007816C2" w:rsidRDefault="007816C2" w:rsidP="007816C2">
            <w:pPr>
              <w:rPr>
                <w:rFonts w:ascii="Calibri" w:hAnsi="Calibri"/>
                <w:bCs/>
                <w:szCs w:val="22"/>
              </w:rPr>
            </w:pPr>
            <w:r>
              <w:rPr>
                <w:rFonts w:ascii="Calibri" w:hAnsi="Calibri"/>
                <w:bCs/>
                <w:szCs w:val="22"/>
              </w:rPr>
              <w:t xml:space="preserve">Schedule 2 Part 1 Class A of the Town and Country Planning (General Permitted Development) (England) Order 2015 (as amended). </w:t>
            </w:r>
          </w:p>
        </w:tc>
      </w:tr>
      <w:tr w:rsidR="00C0704D" w:rsidRPr="00D2449B" w14:paraId="08181FD6"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E8DA45D" w:rsidR="0046548C" w:rsidRDefault="007816C2" w:rsidP="00C0704D">
            <w:pPr>
              <w:pStyle w:val="PLANNING"/>
              <w:rPr>
                <w:rFonts w:ascii="Calibri" w:hAnsi="Calibri"/>
                <w:szCs w:val="22"/>
              </w:rPr>
            </w:pPr>
            <w:r>
              <w:rPr>
                <w:rFonts w:ascii="Calibri" w:hAnsi="Calibri"/>
                <w:szCs w:val="22"/>
              </w:rPr>
              <w:t xml:space="preserve">3/2023/0639: Proposed single storey extension to rear (Approved). </w:t>
            </w:r>
          </w:p>
          <w:p w14:paraId="42120497" w14:textId="77777777" w:rsidR="007816C2" w:rsidRDefault="007816C2" w:rsidP="00C0704D">
            <w:pPr>
              <w:pStyle w:val="PLANNING"/>
              <w:rPr>
                <w:rFonts w:ascii="Calibri" w:hAnsi="Calibri"/>
                <w:szCs w:val="22"/>
              </w:rPr>
            </w:pPr>
          </w:p>
          <w:p w14:paraId="65CCA27D" w14:textId="198503CE" w:rsidR="007816C2" w:rsidRPr="007816C2" w:rsidRDefault="00767543" w:rsidP="00C0704D">
            <w:pPr>
              <w:pStyle w:val="PLANNING"/>
              <w:rPr>
                <w:rFonts w:ascii="Calibri" w:hAnsi="Calibri"/>
                <w:szCs w:val="22"/>
              </w:rPr>
            </w:pPr>
            <w:r>
              <w:rPr>
                <w:rFonts w:ascii="Calibri" w:hAnsi="Calibri"/>
                <w:szCs w:val="22"/>
              </w:rPr>
              <w:t xml:space="preserve">3/2022/0505: Proposed two storey side and rear extension over existing garage and internal remodelling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078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75E6B5A" w14:textId="6B603175" w:rsidR="00C0704D" w:rsidRDefault="0076754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property at no.22 Green Drive. The site to which the proposal relates in located within the defined settlement area of Clitheroe and </w:t>
            </w:r>
            <w:r w:rsidR="006C474D">
              <w:rPr>
                <w:rFonts w:ascii="Calibri" w:hAnsi="Calibri"/>
                <w:bCs/>
                <w:szCs w:val="22"/>
              </w:rPr>
              <w:t xml:space="preserve">the </w:t>
            </w:r>
            <w:r>
              <w:rPr>
                <w:rFonts w:ascii="Calibri" w:hAnsi="Calibri"/>
                <w:bCs/>
                <w:szCs w:val="22"/>
              </w:rPr>
              <w:t xml:space="preserve">property benefits from no other designations or constraints. </w:t>
            </w:r>
          </w:p>
          <w:p w14:paraId="62370E9F" w14:textId="5399AB73" w:rsidR="00767543" w:rsidRPr="006C2BFA" w:rsidRDefault="0076754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488A95A" w14:textId="77777777" w:rsidR="00C0704D" w:rsidRDefault="00767543" w:rsidP="002F2580">
            <w:pPr>
              <w:rPr>
                <w:rFonts w:ascii="Calibri" w:hAnsi="Calibri"/>
                <w:szCs w:val="22"/>
              </w:rPr>
            </w:pPr>
            <w:r>
              <w:rPr>
                <w:rFonts w:ascii="Calibri" w:hAnsi="Calibri"/>
                <w:szCs w:val="22"/>
              </w:rPr>
              <w:t xml:space="preserve">Consent is sought for a Certificate of Lawfulness for the construction of decking and a ramp to the rear of the application property. </w:t>
            </w:r>
          </w:p>
          <w:p w14:paraId="1B20488F" w14:textId="5B614E78" w:rsidR="00767543" w:rsidRPr="00D54E67" w:rsidRDefault="00767543" w:rsidP="002F2580">
            <w:pPr>
              <w:rPr>
                <w:rFonts w:ascii="Calibri" w:hAnsi="Calibri"/>
                <w:szCs w:val="22"/>
              </w:rPr>
            </w:pPr>
          </w:p>
        </w:tc>
      </w:tr>
      <w:tr w:rsidR="00C0704D" w:rsidRPr="00D2449B" w14:paraId="7B96C947"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4528AA">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4528AA">
            <w:pPr>
              <w:pStyle w:val="Header"/>
              <w:tabs>
                <w:tab w:val="clear" w:pos="4153"/>
                <w:tab w:val="clear" w:pos="8306"/>
              </w:tabs>
              <w:contextualSpacing/>
              <w:jc w:val="both"/>
              <w:rPr>
                <w:rFonts w:ascii="Calibri" w:hAnsi="Calibri"/>
                <w:b/>
                <w:szCs w:val="22"/>
              </w:rPr>
            </w:pPr>
          </w:p>
          <w:p w14:paraId="04A24B80" w14:textId="699B1BD0" w:rsidR="00C0704D" w:rsidRDefault="00767543" w:rsidP="004528AA">
            <w:pPr>
              <w:contextualSpacing/>
              <w:jc w:val="both"/>
              <w:rPr>
                <w:rFonts w:ascii="Calibri" w:hAnsi="Calibri"/>
                <w:bCs/>
                <w:szCs w:val="22"/>
              </w:rPr>
            </w:pPr>
            <w:r>
              <w:rPr>
                <w:rFonts w:ascii="Calibri" w:hAnsi="Calibri"/>
                <w:bCs/>
                <w:szCs w:val="22"/>
              </w:rPr>
              <w:lastRenderedPageBreak/>
              <w:t xml:space="preserve">Assessment of the proposal in relation to the provisions of Schedule 2 Part 1 Class A of the Town and Country Planning (General Permitted Development) (England) Order 2015 (as amended). </w:t>
            </w:r>
          </w:p>
          <w:p w14:paraId="19695A79" w14:textId="77777777" w:rsidR="00767543" w:rsidRDefault="00767543" w:rsidP="004528AA">
            <w:pPr>
              <w:contextualSpacing/>
              <w:jc w:val="both"/>
              <w:rPr>
                <w:rFonts w:ascii="Calibri" w:hAnsi="Calibri"/>
                <w:bCs/>
                <w:szCs w:val="22"/>
              </w:rPr>
            </w:pPr>
          </w:p>
          <w:p w14:paraId="74BFAFE2" w14:textId="77777777" w:rsidR="00767543" w:rsidRDefault="00767543" w:rsidP="004528AA">
            <w:pPr>
              <w:contextualSpacing/>
              <w:jc w:val="both"/>
              <w:rPr>
                <w:rFonts w:ascii="Calibri" w:hAnsi="Calibri"/>
                <w:bCs/>
                <w:szCs w:val="22"/>
              </w:rPr>
            </w:pPr>
            <w:r>
              <w:rPr>
                <w:rFonts w:ascii="Calibri" w:hAnsi="Calibri"/>
                <w:bCs/>
                <w:szCs w:val="22"/>
              </w:rPr>
              <w:t xml:space="preserve">In order to be permitted development, the proposed development needs to satisfy a number of criteria as comprised in Schedule 2 Part 1 Class A of the Town and Country Planning (General Permitted Development) (England) Order 2015 (as amended) for the </w:t>
            </w:r>
            <w:r w:rsidR="004528AA">
              <w:rPr>
                <w:rFonts w:ascii="Calibri" w:hAnsi="Calibri"/>
                <w:bCs/>
                <w:szCs w:val="22"/>
              </w:rPr>
              <w:t xml:space="preserve">enlargement, improvement or other alteration of a dwellinghouse. </w:t>
            </w:r>
          </w:p>
          <w:p w14:paraId="0058EC8D" w14:textId="77777777" w:rsidR="00723717" w:rsidRDefault="00723717" w:rsidP="004528AA">
            <w:pPr>
              <w:contextualSpacing/>
              <w:jc w:val="both"/>
              <w:rPr>
                <w:rFonts w:ascii="Calibri" w:hAnsi="Calibri"/>
                <w:bCs/>
                <w:szCs w:val="22"/>
              </w:rPr>
            </w:pPr>
          </w:p>
          <w:p w14:paraId="7D53A73F" w14:textId="77777777" w:rsidR="00723717" w:rsidRPr="00723717" w:rsidRDefault="00723717" w:rsidP="00723717">
            <w:pPr>
              <w:contextualSpacing/>
              <w:jc w:val="both"/>
              <w:rPr>
                <w:rFonts w:ascii="Calibri" w:hAnsi="Calibri"/>
                <w:bCs/>
                <w:szCs w:val="22"/>
                <w:u w:val="single"/>
              </w:rPr>
            </w:pPr>
            <w:r w:rsidRPr="00723717">
              <w:rPr>
                <w:rFonts w:ascii="Calibri" w:hAnsi="Calibri"/>
                <w:bCs/>
                <w:szCs w:val="22"/>
                <w:u w:val="single"/>
              </w:rPr>
              <w:t xml:space="preserve">A.1 Development is not permitted by Class A if – </w:t>
            </w:r>
          </w:p>
          <w:p w14:paraId="0D441832" w14:textId="77777777" w:rsidR="00723717" w:rsidRPr="00723717" w:rsidRDefault="00723717" w:rsidP="00723717">
            <w:pPr>
              <w:contextualSpacing/>
              <w:jc w:val="both"/>
              <w:rPr>
                <w:rFonts w:ascii="Calibri" w:hAnsi="Calibri"/>
                <w:bCs/>
                <w:szCs w:val="22"/>
                <w:u w:val="single"/>
              </w:rPr>
            </w:pPr>
          </w:p>
          <w:p w14:paraId="0860F6D5" w14:textId="77777777" w:rsidR="00723717" w:rsidRPr="00723717" w:rsidRDefault="00723717" w:rsidP="00723717">
            <w:pPr>
              <w:contextualSpacing/>
              <w:jc w:val="both"/>
              <w:rPr>
                <w:rFonts w:ascii="Calibri" w:hAnsi="Calibri"/>
                <w:bCs/>
                <w:szCs w:val="22"/>
              </w:rPr>
            </w:pPr>
            <w:r w:rsidRPr="00723717">
              <w:rPr>
                <w:rFonts w:ascii="Calibri" w:hAnsi="Calibri"/>
                <w:bCs/>
                <w:szCs w:val="22"/>
              </w:rPr>
              <w:t xml:space="preserve">a) permission to use the dwellinghouse as a dwellinghouse has been granted only by virtue of Class G, M, MA, N, P, PA or Q of Part 3 (change of use); </w:t>
            </w:r>
          </w:p>
          <w:p w14:paraId="0AE9F37E" w14:textId="77777777" w:rsidR="00723717" w:rsidRPr="00723717" w:rsidRDefault="00723717" w:rsidP="00723717">
            <w:pPr>
              <w:contextualSpacing/>
              <w:jc w:val="both"/>
              <w:rPr>
                <w:rFonts w:ascii="Calibri" w:hAnsi="Calibri"/>
                <w:bCs/>
                <w:szCs w:val="22"/>
              </w:rPr>
            </w:pPr>
          </w:p>
          <w:p w14:paraId="4C2EDF65" w14:textId="77777777" w:rsidR="00723717" w:rsidRPr="00723717" w:rsidRDefault="00723717" w:rsidP="00723717">
            <w:pPr>
              <w:contextualSpacing/>
              <w:jc w:val="both"/>
              <w:rPr>
                <w:rFonts w:ascii="Calibri" w:hAnsi="Calibri"/>
                <w:b/>
                <w:bCs/>
                <w:szCs w:val="22"/>
              </w:rPr>
            </w:pPr>
            <w:r w:rsidRPr="00723717">
              <w:rPr>
                <w:rFonts w:ascii="Calibri" w:hAnsi="Calibri"/>
                <w:b/>
                <w:bCs/>
                <w:szCs w:val="22"/>
              </w:rPr>
              <w:t xml:space="preserve">Permission to use the dwellinghouse as a dwellinghouse has not been granted only by virtue of Class G, M, MA, N, P, PA or Q of Part 3. </w:t>
            </w:r>
          </w:p>
          <w:p w14:paraId="3D3D0F7E" w14:textId="77777777" w:rsidR="00723717" w:rsidRPr="00723717" w:rsidRDefault="00723717" w:rsidP="00723717">
            <w:pPr>
              <w:contextualSpacing/>
              <w:jc w:val="both"/>
              <w:rPr>
                <w:rFonts w:ascii="Calibri" w:hAnsi="Calibri"/>
                <w:bCs/>
                <w:szCs w:val="22"/>
              </w:rPr>
            </w:pPr>
          </w:p>
          <w:p w14:paraId="6A881A88" w14:textId="77777777" w:rsidR="00723717" w:rsidRPr="00723717" w:rsidRDefault="00723717" w:rsidP="00723717">
            <w:pPr>
              <w:contextualSpacing/>
              <w:jc w:val="both"/>
              <w:rPr>
                <w:rFonts w:ascii="Calibri" w:hAnsi="Calibri"/>
                <w:bCs/>
                <w:szCs w:val="22"/>
              </w:rPr>
            </w:pPr>
            <w:r w:rsidRPr="00723717">
              <w:rPr>
                <w:rFonts w:ascii="Calibri" w:hAnsi="Calibri"/>
                <w:bCs/>
                <w:szCs w:val="22"/>
              </w:rPr>
              <w:t xml:space="preserve">b) as a result of the works, the total area of ground covered by buildings within the curtilage of the dwellinghouse (other than the original dwellinghouse) would exceed 50% of the total area of curtilage (excluding the ground area of the original dwellinghouse); </w:t>
            </w:r>
          </w:p>
          <w:p w14:paraId="026EB15F" w14:textId="77777777" w:rsidR="00723717" w:rsidRPr="00723717" w:rsidRDefault="00723717" w:rsidP="00723717">
            <w:pPr>
              <w:contextualSpacing/>
              <w:jc w:val="both"/>
              <w:rPr>
                <w:rFonts w:ascii="Calibri" w:hAnsi="Calibri"/>
                <w:bCs/>
                <w:szCs w:val="22"/>
              </w:rPr>
            </w:pPr>
          </w:p>
          <w:p w14:paraId="6B973471" w14:textId="77777777" w:rsidR="00723717" w:rsidRPr="00723717" w:rsidRDefault="00723717" w:rsidP="00723717">
            <w:pPr>
              <w:contextualSpacing/>
              <w:jc w:val="both"/>
              <w:rPr>
                <w:rFonts w:ascii="Calibri" w:hAnsi="Calibri"/>
                <w:b/>
                <w:bCs/>
                <w:szCs w:val="22"/>
              </w:rPr>
            </w:pPr>
            <w:r w:rsidRPr="00723717">
              <w:rPr>
                <w:rFonts w:ascii="Calibri" w:hAnsi="Calibri"/>
                <w:b/>
                <w:bCs/>
                <w:szCs w:val="22"/>
              </w:rPr>
              <w:t xml:space="preserve">The total area of ground covered by buildings would not exceed 50% of the total area of the curtilage of the dwellinghouse. </w:t>
            </w:r>
          </w:p>
          <w:p w14:paraId="22C3D654" w14:textId="77777777" w:rsidR="00723717" w:rsidRPr="00723717" w:rsidRDefault="00723717" w:rsidP="00723717">
            <w:pPr>
              <w:contextualSpacing/>
              <w:jc w:val="both"/>
              <w:rPr>
                <w:rFonts w:ascii="Calibri" w:hAnsi="Calibri"/>
                <w:bCs/>
                <w:szCs w:val="22"/>
              </w:rPr>
            </w:pPr>
          </w:p>
          <w:p w14:paraId="4E02280F" w14:textId="77777777" w:rsidR="00723717" w:rsidRPr="00723717" w:rsidRDefault="00723717" w:rsidP="00723717">
            <w:pPr>
              <w:contextualSpacing/>
              <w:jc w:val="both"/>
              <w:rPr>
                <w:rFonts w:ascii="Calibri" w:hAnsi="Calibri"/>
                <w:bCs/>
                <w:szCs w:val="22"/>
              </w:rPr>
            </w:pPr>
            <w:r w:rsidRPr="00723717">
              <w:rPr>
                <w:rFonts w:ascii="Calibri" w:hAnsi="Calibri"/>
                <w:bCs/>
                <w:szCs w:val="22"/>
              </w:rPr>
              <w:t xml:space="preserve">c) the height of the part of the dwellinghouse enlarged, improved or altered would exceed the height of the highest part of the roof of the existing dwellinghouse; </w:t>
            </w:r>
          </w:p>
          <w:p w14:paraId="43C7B598" w14:textId="77777777" w:rsidR="00723717" w:rsidRPr="00723717" w:rsidRDefault="00723717" w:rsidP="00723717">
            <w:pPr>
              <w:contextualSpacing/>
              <w:jc w:val="both"/>
              <w:rPr>
                <w:rFonts w:ascii="Calibri" w:hAnsi="Calibri"/>
                <w:bCs/>
                <w:szCs w:val="22"/>
              </w:rPr>
            </w:pPr>
          </w:p>
          <w:p w14:paraId="5F8E6281" w14:textId="6866804C" w:rsidR="00723717" w:rsidRDefault="00723717" w:rsidP="00723717">
            <w:pPr>
              <w:contextualSpacing/>
              <w:jc w:val="both"/>
              <w:rPr>
                <w:rFonts w:ascii="Calibri" w:hAnsi="Calibri"/>
                <w:b/>
                <w:bCs/>
                <w:szCs w:val="22"/>
              </w:rPr>
            </w:pPr>
            <w:r w:rsidRPr="00723717">
              <w:rPr>
                <w:rFonts w:ascii="Calibri" w:hAnsi="Calibri"/>
                <w:b/>
                <w:bCs/>
                <w:szCs w:val="22"/>
              </w:rPr>
              <w:t xml:space="preserve">The height of the proposed </w:t>
            </w:r>
            <w:r>
              <w:rPr>
                <w:rFonts w:ascii="Calibri" w:hAnsi="Calibri"/>
                <w:b/>
                <w:bCs/>
                <w:szCs w:val="22"/>
              </w:rPr>
              <w:t>development</w:t>
            </w:r>
            <w:r w:rsidRPr="00723717">
              <w:rPr>
                <w:rFonts w:ascii="Calibri" w:hAnsi="Calibri"/>
                <w:b/>
                <w:bCs/>
                <w:szCs w:val="22"/>
              </w:rPr>
              <w:t xml:space="preserve"> would not exceed the height of the existing dwellinghouse. </w:t>
            </w:r>
          </w:p>
          <w:p w14:paraId="34F9C827" w14:textId="77777777" w:rsidR="00723717" w:rsidRDefault="00723717" w:rsidP="00723717">
            <w:pPr>
              <w:contextualSpacing/>
              <w:jc w:val="both"/>
              <w:rPr>
                <w:rFonts w:ascii="Calibri" w:hAnsi="Calibri"/>
                <w:b/>
                <w:bCs/>
                <w:szCs w:val="22"/>
              </w:rPr>
            </w:pPr>
          </w:p>
          <w:p w14:paraId="5142F4BF" w14:textId="77777777" w:rsidR="00723717" w:rsidRDefault="00723717" w:rsidP="00723717">
            <w:pPr>
              <w:contextualSpacing/>
              <w:jc w:val="both"/>
              <w:rPr>
                <w:rFonts w:ascii="Calibri" w:hAnsi="Calibri"/>
                <w:szCs w:val="22"/>
              </w:rPr>
            </w:pPr>
            <w:r w:rsidRPr="00723717">
              <w:rPr>
                <w:rFonts w:ascii="Calibri" w:hAnsi="Calibri"/>
                <w:szCs w:val="22"/>
              </w:rPr>
              <w:t xml:space="preserve">d) the height of the eaves of the part of the dwellinghouse enlarged, improved or altered would exceed the height of the eaves of the existing dwellinghouse; </w:t>
            </w:r>
          </w:p>
          <w:p w14:paraId="380FBA73" w14:textId="77777777" w:rsidR="00723717" w:rsidRDefault="00723717" w:rsidP="00723717">
            <w:pPr>
              <w:contextualSpacing/>
              <w:jc w:val="both"/>
              <w:rPr>
                <w:rFonts w:ascii="Calibri" w:hAnsi="Calibri"/>
                <w:szCs w:val="22"/>
              </w:rPr>
            </w:pPr>
          </w:p>
          <w:p w14:paraId="536523DD" w14:textId="4EA61A67" w:rsidR="00723717" w:rsidRPr="00723717" w:rsidRDefault="00723717" w:rsidP="00723717">
            <w:pPr>
              <w:contextualSpacing/>
              <w:jc w:val="both"/>
              <w:rPr>
                <w:rFonts w:ascii="Calibri" w:hAnsi="Calibri"/>
                <w:b/>
                <w:bCs/>
                <w:szCs w:val="22"/>
              </w:rPr>
            </w:pPr>
            <w:r w:rsidRPr="00723717">
              <w:rPr>
                <w:rFonts w:ascii="Calibri" w:hAnsi="Calibri"/>
                <w:b/>
                <w:bCs/>
                <w:szCs w:val="22"/>
              </w:rPr>
              <w:t>N/A</w:t>
            </w:r>
          </w:p>
          <w:p w14:paraId="6DFDCE16" w14:textId="77777777" w:rsidR="00723717" w:rsidRDefault="00723717" w:rsidP="00723717">
            <w:pPr>
              <w:contextualSpacing/>
              <w:jc w:val="both"/>
              <w:rPr>
                <w:rFonts w:ascii="Calibri" w:hAnsi="Calibri"/>
                <w:szCs w:val="22"/>
              </w:rPr>
            </w:pPr>
          </w:p>
          <w:p w14:paraId="28C5BADA"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e) the enlarged part of the dwellinghouse would extend beyond a wall which – </w:t>
            </w:r>
          </w:p>
          <w:p w14:paraId="449DF2C5" w14:textId="77777777" w:rsidR="00723717" w:rsidRPr="00723717" w:rsidRDefault="00723717" w:rsidP="00723717">
            <w:pPr>
              <w:contextualSpacing/>
              <w:jc w:val="both"/>
              <w:rPr>
                <w:rFonts w:ascii="Calibri" w:hAnsi="Calibri"/>
                <w:szCs w:val="22"/>
              </w:rPr>
            </w:pPr>
          </w:p>
          <w:p w14:paraId="7A774488"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(i) forms the principal elevation of the original dwellinghouse, or </w:t>
            </w:r>
          </w:p>
          <w:p w14:paraId="4C8D14DC" w14:textId="77777777" w:rsidR="00723717" w:rsidRPr="00723717" w:rsidRDefault="00723717" w:rsidP="00723717">
            <w:pPr>
              <w:contextualSpacing/>
              <w:jc w:val="both"/>
              <w:rPr>
                <w:rFonts w:ascii="Calibri" w:hAnsi="Calibri"/>
                <w:szCs w:val="22"/>
              </w:rPr>
            </w:pPr>
          </w:p>
          <w:p w14:paraId="5B6614B6"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(ii) fronts a highway and forms a side elevation of the original dwellinghouse; </w:t>
            </w:r>
          </w:p>
          <w:p w14:paraId="76356D52" w14:textId="77777777" w:rsidR="00723717" w:rsidRPr="00723717" w:rsidRDefault="00723717" w:rsidP="00723717">
            <w:pPr>
              <w:contextualSpacing/>
              <w:jc w:val="both"/>
              <w:rPr>
                <w:rFonts w:ascii="Calibri" w:hAnsi="Calibri"/>
                <w:szCs w:val="22"/>
              </w:rPr>
            </w:pPr>
          </w:p>
          <w:p w14:paraId="7AAFCF82" w14:textId="1893ED4B" w:rsidR="00723717" w:rsidRDefault="00723717" w:rsidP="00723717">
            <w:pPr>
              <w:contextualSpacing/>
              <w:jc w:val="both"/>
              <w:rPr>
                <w:rFonts w:ascii="Calibri" w:hAnsi="Calibri"/>
                <w:b/>
                <w:bCs/>
                <w:szCs w:val="22"/>
              </w:rPr>
            </w:pPr>
            <w:r w:rsidRPr="00723717">
              <w:rPr>
                <w:rFonts w:ascii="Calibri" w:hAnsi="Calibri"/>
                <w:b/>
                <w:bCs/>
                <w:szCs w:val="22"/>
              </w:rPr>
              <w:t xml:space="preserve">The proposed </w:t>
            </w:r>
            <w:r>
              <w:rPr>
                <w:rFonts w:ascii="Calibri" w:hAnsi="Calibri"/>
                <w:b/>
                <w:bCs/>
                <w:szCs w:val="22"/>
              </w:rPr>
              <w:t>development</w:t>
            </w:r>
            <w:r w:rsidRPr="00723717">
              <w:rPr>
                <w:rFonts w:ascii="Calibri" w:hAnsi="Calibri"/>
                <w:b/>
                <w:bCs/>
                <w:szCs w:val="22"/>
              </w:rPr>
              <w:t xml:space="preserve"> would not extend beyond a wall which forms the principal elevation or fronts a highway and forms a side elevation of the dwellinghouse. </w:t>
            </w:r>
          </w:p>
          <w:p w14:paraId="5830D201" w14:textId="77777777" w:rsidR="00723717" w:rsidRDefault="00723717" w:rsidP="00723717">
            <w:pPr>
              <w:contextualSpacing/>
              <w:jc w:val="both"/>
              <w:rPr>
                <w:rFonts w:ascii="Calibri" w:hAnsi="Calibri"/>
                <w:b/>
                <w:bCs/>
                <w:szCs w:val="22"/>
              </w:rPr>
            </w:pPr>
          </w:p>
          <w:p w14:paraId="5805427C"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f) subject to paragraph (g), the enlarged part of the dwellinghouse would have a single storey and – </w:t>
            </w:r>
          </w:p>
          <w:p w14:paraId="5CD47C71" w14:textId="77777777" w:rsidR="00723717" w:rsidRPr="00723717" w:rsidRDefault="00723717" w:rsidP="00723717">
            <w:pPr>
              <w:contextualSpacing/>
              <w:jc w:val="both"/>
              <w:rPr>
                <w:rFonts w:ascii="Calibri" w:hAnsi="Calibri"/>
                <w:szCs w:val="22"/>
              </w:rPr>
            </w:pPr>
          </w:p>
          <w:p w14:paraId="5EB6DC62" w14:textId="77777777" w:rsidR="00723717" w:rsidRPr="00723717" w:rsidRDefault="00723717" w:rsidP="00723717">
            <w:pPr>
              <w:contextualSpacing/>
              <w:jc w:val="both"/>
              <w:rPr>
                <w:rFonts w:ascii="Calibri" w:hAnsi="Calibri"/>
                <w:szCs w:val="22"/>
              </w:rPr>
            </w:pPr>
            <w:r w:rsidRPr="00723717">
              <w:rPr>
                <w:rFonts w:ascii="Calibri" w:hAnsi="Calibri"/>
                <w:szCs w:val="22"/>
              </w:rPr>
              <w:t>(i) extend beyond the rear wall of the original dwellinghouse by more than 4m in the case of a detached dwellinghouse, or 3m in the case of any other dwellinghouse, or</w:t>
            </w:r>
          </w:p>
          <w:p w14:paraId="28317392" w14:textId="77777777" w:rsidR="00723717" w:rsidRPr="00723717" w:rsidRDefault="00723717" w:rsidP="00723717">
            <w:pPr>
              <w:contextualSpacing/>
              <w:jc w:val="both"/>
              <w:rPr>
                <w:rFonts w:ascii="Calibri" w:hAnsi="Calibri"/>
                <w:szCs w:val="22"/>
              </w:rPr>
            </w:pPr>
          </w:p>
          <w:p w14:paraId="0C2B64F6"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(ii) exceed 4m in height; </w:t>
            </w:r>
          </w:p>
          <w:p w14:paraId="77CCD854" w14:textId="77777777" w:rsidR="00723717" w:rsidRPr="00723717" w:rsidRDefault="00723717" w:rsidP="00723717">
            <w:pPr>
              <w:contextualSpacing/>
              <w:jc w:val="both"/>
              <w:rPr>
                <w:rFonts w:ascii="Calibri" w:hAnsi="Calibri"/>
                <w:b/>
                <w:bCs/>
                <w:szCs w:val="22"/>
              </w:rPr>
            </w:pPr>
          </w:p>
          <w:p w14:paraId="552F32EC" w14:textId="36F12D2D" w:rsidR="00723717" w:rsidRPr="00723717" w:rsidRDefault="00723717" w:rsidP="00723717">
            <w:pPr>
              <w:contextualSpacing/>
              <w:jc w:val="both"/>
              <w:rPr>
                <w:rFonts w:ascii="Calibri" w:hAnsi="Calibri"/>
                <w:b/>
                <w:bCs/>
                <w:color w:val="FF0000"/>
                <w:szCs w:val="22"/>
              </w:rPr>
            </w:pPr>
            <w:r w:rsidRPr="006C474D">
              <w:rPr>
                <w:rFonts w:ascii="Calibri" w:hAnsi="Calibri"/>
                <w:b/>
                <w:bCs/>
                <w:szCs w:val="22"/>
              </w:rPr>
              <w:t>The proposed development would project 4.95m from the existing single storey rear extension and 7.95m from the rear wall of the original dwellinghouse and would therefore fail to comply with the above</w:t>
            </w:r>
            <w:r w:rsidRPr="00723717">
              <w:rPr>
                <w:rFonts w:ascii="Calibri" w:hAnsi="Calibri"/>
                <w:b/>
                <w:bCs/>
                <w:color w:val="FF0000"/>
                <w:szCs w:val="22"/>
              </w:rPr>
              <w:t xml:space="preserve">. </w:t>
            </w:r>
          </w:p>
          <w:p w14:paraId="49AA9516" w14:textId="77777777" w:rsidR="00723717" w:rsidRPr="00723717" w:rsidRDefault="00723717" w:rsidP="00723717">
            <w:pPr>
              <w:contextualSpacing/>
              <w:jc w:val="both"/>
              <w:rPr>
                <w:rFonts w:ascii="Calibri" w:hAnsi="Calibri"/>
                <w:szCs w:val="22"/>
              </w:rPr>
            </w:pPr>
          </w:p>
          <w:p w14:paraId="6D2E42CC"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g) for a dwellinghouse not on article 2(3) land nor on a site of special scientific interest, the enlarged part of the dwellinghouse would have a single storey and – </w:t>
            </w:r>
          </w:p>
          <w:p w14:paraId="22C57755" w14:textId="77777777" w:rsidR="00723717" w:rsidRPr="00723717" w:rsidRDefault="00723717" w:rsidP="00723717">
            <w:pPr>
              <w:contextualSpacing/>
              <w:jc w:val="both"/>
              <w:rPr>
                <w:rFonts w:ascii="Calibri" w:hAnsi="Calibri"/>
                <w:szCs w:val="22"/>
              </w:rPr>
            </w:pPr>
          </w:p>
          <w:p w14:paraId="0C7FCF06"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(i) extend beyond the rear wall of the original dwellinghouse by more than 8m in the case of a detached dwellinghouse, or 6m in the case of any other dwellinghouse, or </w:t>
            </w:r>
          </w:p>
          <w:p w14:paraId="1E35D62C" w14:textId="77777777" w:rsidR="00723717" w:rsidRPr="00723717" w:rsidRDefault="00723717" w:rsidP="00723717">
            <w:pPr>
              <w:contextualSpacing/>
              <w:jc w:val="both"/>
              <w:rPr>
                <w:rFonts w:ascii="Calibri" w:hAnsi="Calibri"/>
                <w:szCs w:val="22"/>
              </w:rPr>
            </w:pPr>
          </w:p>
          <w:p w14:paraId="12662A48"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(ii) exceed 4m in height; </w:t>
            </w:r>
          </w:p>
          <w:p w14:paraId="7470CCE4" w14:textId="77777777" w:rsidR="00723717" w:rsidRPr="00723717" w:rsidRDefault="00723717" w:rsidP="00723717">
            <w:pPr>
              <w:contextualSpacing/>
              <w:jc w:val="both"/>
              <w:rPr>
                <w:rFonts w:ascii="Calibri" w:hAnsi="Calibri"/>
                <w:b/>
                <w:bCs/>
                <w:szCs w:val="22"/>
              </w:rPr>
            </w:pPr>
          </w:p>
          <w:p w14:paraId="267144A2" w14:textId="77777777" w:rsidR="00723717" w:rsidRPr="00723717" w:rsidRDefault="00723717" w:rsidP="00723717">
            <w:pPr>
              <w:contextualSpacing/>
              <w:jc w:val="both"/>
              <w:rPr>
                <w:rFonts w:ascii="Calibri" w:hAnsi="Calibri"/>
                <w:b/>
                <w:bCs/>
                <w:szCs w:val="22"/>
              </w:rPr>
            </w:pPr>
            <w:r w:rsidRPr="00723717">
              <w:rPr>
                <w:rFonts w:ascii="Calibri" w:hAnsi="Calibri"/>
                <w:b/>
                <w:bCs/>
                <w:szCs w:val="22"/>
              </w:rPr>
              <w:t xml:space="preserve">The dwellinghouse is not on article 2(3) land nor on a site of special scientific interest and the proposal would not involve a larger home extension. </w:t>
            </w:r>
          </w:p>
          <w:p w14:paraId="6D57EF6F" w14:textId="77777777" w:rsidR="00723717" w:rsidRDefault="00723717" w:rsidP="00723717">
            <w:pPr>
              <w:contextualSpacing/>
              <w:jc w:val="both"/>
              <w:rPr>
                <w:rFonts w:ascii="Calibri" w:hAnsi="Calibri"/>
                <w:b/>
                <w:bCs/>
                <w:szCs w:val="22"/>
              </w:rPr>
            </w:pPr>
          </w:p>
          <w:p w14:paraId="7A16EDDA"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h) the enlarged part of the dwellinghouse would have more than a single storey and – </w:t>
            </w:r>
          </w:p>
          <w:p w14:paraId="5CAFAF31" w14:textId="77777777" w:rsidR="00723717" w:rsidRPr="00723717" w:rsidRDefault="00723717" w:rsidP="00723717">
            <w:pPr>
              <w:contextualSpacing/>
              <w:jc w:val="both"/>
              <w:rPr>
                <w:rFonts w:ascii="Calibri" w:hAnsi="Calibri"/>
                <w:szCs w:val="22"/>
              </w:rPr>
            </w:pPr>
          </w:p>
          <w:p w14:paraId="5AE0D353"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(i) extend beyond the rear wall of the original property by more than 3m, or </w:t>
            </w:r>
          </w:p>
          <w:p w14:paraId="7E17FFE6" w14:textId="77777777" w:rsidR="00723717" w:rsidRPr="00723717" w:rsidRDefault="00723717" w:rsidP="00723717">
            <w:pPr>
              <w:contextualSpacing/>
              <w:jc w:val="both"/>
              <w:rPr>
                <w:rFonts w:ascii="Calibri" w:hAnsi="Calibri"/>
                <w:szCs w:val="22"/>
              </w:rPr>
            </w:pPr>
          </w:p>
          <w:p w14:paraId="79C11835" w14:textId="77777777" w:rsidR="00723717" w:rsidRPr="00723717" w:rsidRDefault="00723717" w:rsidP="00723717">
            <w:pPr>
              <w:contextualSpacing/>
              <w:jc w:val="both"/>
              <w:rPr>
                <w:rFonts w:ascii="Calibri" w:hAnsi="Calibri"/>
                <w:szCs w:val="22"/>
              </w:rPr>
            </w:pPr>
            <w:r w:rsidRPr="00723717">
              <w:rPr>
                <w:rFonts w:ascii="Calibri" w:hAnsi="Calibri"/>
                <w:szCs w:val="22"/>
              </w:rPr>
              <w:t xml:space="preserve">(ii) be within 7m of any boundary of the curtilage of the dwellinghouse being enlarged which is opposite the rear wall of that dwellinghouse; </w:t>
            </w:r>
          </w:p>
          <w:p w14:paraId="7FCA9A9E" w14:textId="77777777" w:rsidR="00723717" w:rsidRPr="00723717" w:rsidRDefault="00723717" w:rsidP="00723717">
            <w:pPr>
              <w:contextualSpacing/>
              <w:jc w:val="both"/>
              <w:rPr>
                <w:rFonts w:ascii="Calibri" w:hAnsi="Calibri"/>
                <w:b/>
                <w:bCs/>
                <w:szCs w:val="22"/>
              </w:rPr>
            </w:pPr>
          </w:p>
          <w:p w14:paraId="1A9A98DC" w14:textId="5DFA91C0" w:rsidR="00723717" w:rsidRDefault="00723717" w:rsidP="00723717">
            <w:pPr>
              <w:contextualSpacing/>
              <w:jc w:val="both"/>
              <w:rPr>
                <w:rFonts w:ascii="Calibri" w:hAnsi="Calibri"/>
                <w:b/>
                <w:bCs/>
                <w:szCs w:val="22"/>
              </w:rPr>
            </w:pPr>
            <w:r w:rsidRPr="00723717">
              <w:rPr>
                <w:rFonts w:ascii="Calibri" w:hAnsi="Calibri"/>
                <w:b/>
                <w:bCs/>
                <w:szCs w:val="22"/>
              </w:rPr>
              <w:t xml:space="preserve">The proposed </w:t>
            </w:r>
            <w:r w:rsidR="006A4140">
              <w:rPr>
                <w:rFonts w:ascii="Calibri" w:hAnsi="Calibri"/>
                <w:b/>
                <w:bCs/>
                <w:szCs w:val="22"/>
              </w:rPr>
              <w:t>development</w:t>
            </w:r>
            <w:r w:rsidRPr="00723717">
              <w:rPr>
                <w:rFonts w:ascii="Calibri" w:hAnsi="Calibri"/>
                <w:b/>
                <w:bCs/>
                <w:szCs w:val="22"/>
              </w:rPr>
              <w:t xml:space="preserve"> would not have more than a single storey. </w:t>
            </w:r>
          </w:p>
          <w:p w14:paraId="1DD00114" w14:textId="77777777" w:rsidR="006A4140" w:rsidRDefault="006A4140" w:rsidP="00723717">
            <w:pPr>
              <w:contextualSpacing/>
              <w:jc w:val="both"/>
              <w:rPr>
                <w:rFonts w:ascii="Calibri" w:hAnsi="Calibri"/>
                <w:b/>
                <w:bCs/>
                <w:szCs w:val="22"/>
              </w:rPr>
            </w:pPr>
          </w:p>
          <w:p w14:paraId="2F7EA5BB"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i) the enlarged part of the dwellinghouse would be within 2m of the boundary of the curtilage of the dwellinghouse, and the height of the eaves of the enlarged part would exceed 3m; </w:t>
            </w:r>
          </w:p>
          <w:p w14:paraId="28A8D139" w14:textId="77777777" w:rsidR="006A4140" w:rsidRPr="006A4140" w:rsidRDefault="006A4140" w:rsidP="006A4140">
            <w:pPr>
              <w:contextualSpacing/>
              <w:jc w:val="both"/>
              <w:rPr>
                <w:rFonts w:ascii="Calibri" w:hAnsi="Calibri"/>
                <w:b/>
                <w:bCs/>
                <w:szCs w:val="22"/>
              </w:rPr>
            </w:pPr>
          </w:p>
          <w:p w14:paraId="6F6F4CD3" w14:textId="64B16502" w:rsidR="006A4140" w:rsidRPr="006A4140" w:rsidRDefault="006A4140" w:rsidP="006A4140">
            <w:pPr>
              <w:contextualSpacing/>
              <w:jc w:val="both"/>
              <w:rPr>
                <w:rFonts w:ascii="Calibri" w:hAnsi="Calibri"/>
                <w:b/>
                <w:bCs/>
                <w:szCs w:val="22"/>
              </w:rPr>
            </w:pPr>
            <w:r w:rsidRPr="006A4140">
              <w:rPr>
                <w:rFonts w:ascii="Calibri" w:hAnsi="Calibri"/>
                <w:b/>
                <w:bCs/>
                <w:szCs w:val="22"/>
              </w:rPr>
              <w:t xml:space="preserve">The proposed </w:t>
            </w:r>
            <w:r>
              <w:rPr>
                <w:rFonts w:ascii="Calibri" w:hAnsi="Calibri"/>
                <w:b/>
                <w:bCs/>
                <w:szCs w:val="22"/>
              </w:rPr>
              <w:t>development</w:t>
            </w:r>
            <w:r w:rsidRPr="006A4140">
              <w:rPr>
                <w:rFonts w:ascii="Calibri" w:hAnsi="Calibri"/>
                <w:b/>
                <w:bCs/>
                <w:szCs w:val="22"/>
              </w:rPr>
              <w:t xml:space="preserve"> would be within 2m of the boundary of the curtilage</w:t>
            </w:r>
            <w:r>
              <w:rPr>
                <w:rFonts w:ascii="Calibri" w:hAnsi="Calibri"/>
                <w:b/>
                <w:bCs/>
                <w:szCs w:val="22"/>
              </w:rPr>
              <w:t xml:space="preserve">; </w:t>
            </w:r>
            <w:r w:rsidR="006C474D">
              <w:rPr>
                <w:rFonts w:ascii="Calibri" w:hAnsi="Calibri"/>
                <w:b/>
                <w:bCs/>
                <w:szCs w:val="22"/>
              </w:rPr>
              <w:t>however,</w:t>
            </w:r>
            <w:r>
              <w:rPr>
                <w:rFonts w:ascii="Calibri" w:hAnsi="Calibri"/>
                <w:b/>
                <w:bCs/>
                <w:szCs w:val="22"/>
              </w:rPr>
              <w:t xml:space="preserve"> the proposal would not exceed 3m. </w:t>
            </w:r>
          </w:p>
          <w:p w14:paraId="010E0762" w14:textId="77777777" w:rsidR="006A4140" w:rsidRDefault="006A4140" w:rsidP="00723717">
            <w:pPr>
              <w:contextualSpacing/>
              <w:jc w:val="both"/>
              <w:rPr>
                <w:rFonts w:ascii="Calibri" w:hAnsi="Calibri"/>
                <w:b/>
                <w:bCs/>
                <w:szCs w:val="22"/>
              </w:rPr>
            </w:pPr>
          </w:p>
          <w:p w14:paraId="27755D00"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j) the enlarged part of the dwellinghouse would extend beyond a wall forming a side elevation of the original dwellinghouse and would – </w:t>
            </w:r>
          </w:p>
          <w:p w14:paraId="5C7D9533" w14:textId="77777777" w:rsidR="006A4140" w:rsidRPr="006A4140" w:rsidRDefault="006A4140" w:rsidP="006A4140">
            <w:pPr>
              <w:contextualSpacing/>
              <w:jc w:val="both"/>
              <w:rPr>
                <w:rFonts w:ascii="Calibri" w:hAnsi="Calibri"/>
                <w:szCs w:val="22"/>
              </w:rPr>
            </w:pPr>
          </w:p>
          <w:p w14:paraId="58D1BB50"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(i) exceed 4m in height, </w:t>
            </w:r>
          </w:p>
          <w:p w14:paraId="010BDA96" w14:textId="77777777" w:rsidR="006A4140" w:rsidRPr="006A4140" w:rsidRDefault="006A4140" w:rsidP="006A4140">
            <w:pPr>
              <w:contextualSpacing/>
              <w:jc w:val="both"/>
              <w:rPr>
                <w:rFonts w:ascii="Calibri" w:hAnsi="Calibri"/>
                <w:szCs w:val="22"/>
              </w:rPr>
            </w:pPr>
          </w:p>
          <w:p w14:paraId="3ECD5CE5" w14:textId="77777777" w:rsidR="006A4140" w:rsidRPr="006A4140" w:rsidRDefault="006A4140" w:rsidP="006A4140">
            <w:pPr>
              <w:contextualSpacing/>
              <w:jc w:val="both"/>
              <w:rPr>
                <w:rFonts w:ascii="Calibri" w:hAnsi="Calibri"/>
                <w:szCs w:val="22"/>
              </w:rPr>
            </w:pPr>
            <w:r w:rsidRPr="006A4140">
              <w:rPr>
                <w:rFonts w:ascii="Calibri" w:hAnsi="Calibri"/>
                <w:szCs w:val="22"/>
              </w:rPr>
              <w:t>(ii) have more than a single storey, or</w:t>
            </w:r>
          </w:p>
          <w:p w14:paraId="6771A411" w14:textId="77777777" w:rsidR="006A4140" w:rsidRPr="006A4140" w:rsidRDefault="006A4140" w:rsidP="006A4140">
            <w:pPr>
              <w:contextualSpacing/>
              <w:jc w:val="both"/>
              <w:rPr>
                <w:rFonts w:ascii="Calibri" w:hAnsi="Calibri"/>
                <w:szCs w:val="22"/>
              </w:rPr>
            </w:pPr>
          </w:p>
          <w:p w14:paraId="0DB0148B"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(iii) have a width greater than half the width of the original dwellinghouse; </w:t>
            </w:r>
          </w:p>
          <w:p w14:paraId="376D3FF9" w14:textId="77777777" w:rsidR="006A4140" w:rsidRDefault="006A4140" w:rsidP="00723717">
            <w:pPr>
              <w:contextualSpacing/>
              <w:jc w:val="both"/>
              <w:rPr>
                <w:rFonts w:ascii="Calibri" w:hAnsi="Calibri"/>
                <w:b/>
                <w:bCs/>
                <w:szCs w:val="22"/>
              </w:rPr>
            </w:pPr>
          </w:p>
          <w:p w14:paraId="61287250" w14:textId="13D88F19" w:rsidR="006A4140" w:rsidRDefault="006A4140" w:rsidP="00723717">
            <w:pPr>
              <w:contextualSpacing/>
              <w:jc w:val="both"/>
              <w:rPr>
                <w:rFonts w:ascii="Calibri" w:hAnsi="Calibri"/>
                <w:b/>
                <w:bCs/>
                <w:szCs w:val="22"/>
              </w:rPr>
            </w:pPr>
            <w:r>
              <w:rPr>
                <w:rFonts w:ascii="Calibri" w:hAnsi="Calibri"/>
                <w:b/>
                <w:bCs/>
                <w:szCs w:val="22"/>
              </w:rPr>
              <w:t xml:space="preserve">The proposed development would not extend beyond a wall forming a side elevation. </w:t>
            </w:r>
          </w:p>
          <w:p w14:paraId="0AF5F5DB" w14:textId="77777777" w:rsidR="006A4140" w:rsidRDefault="006A4140" w:rsidP="00723717">
            <w:pPr>
              <w:contextualSpacing/>
              <w:jc w:val="both"/>
              <w:rPr>
                <w:rFonts w:ascii="Calibri" w:hAnsi="Calibri"/>
                <w:b/>
                <w:bCs/>
                <w:szCs w:val="22"/>
              </w:rPr>
            </w:pPr>
          </w:p>
          <w:p w14:paraId="52D46D49"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ja) any total enlargement (being the enlarged part together with any existing enlargement of the original dwellinghouse to which it will be joined) exceeds or would exceed the limits set out in sub-paragraph e) to j); </w:t>
            </w:r>
          </w:p>
          <w:p w14:paraId="3A717365" w14:textId="77777777" w:rsidR="006A4140" w:rsidRPr="006A4140" w:rsidRDefault="006A4140" w:rsidP="006A4140">
            <w:pPr>
              <w:contextualSpacing/>
              <w:jc w:val="both"/>
              <w:rPr>
                <w:rFonts w:ascii="Calibri" w:hAnsi="Calibri"/>
                <w:b/>
                <w:bCs/>
                <w:szCs w:val="22"/>
              </w:rPr>
            </w:pPr>
          </w:p>
          <w:p w14:paraId="2D64B66B" w14:textId="2598272C" w:rsidR="006A4140" w:rsidRPr="006A4140" w:rsidRDefault="006A4140" w:rsidP="006A4140">
            <w:pPr>
              <w:contextualSpacing/>
              <w:jc w:val="both"/>
              <w:rPr>
                <w:rFonts w:ascii="Calibri" w:hAnsi="Calibri"/>
                <w:b/>
                <w:bCs/>
                <w:szCs w:val="22"/>
              </w:rPr>
            </w:pPr>
            <w:r>
              <w:rPr>
                <w:rFonts w:ascii="Calibri" w:hAnsi="Calibri"/>
                <w:b/>
                <w:bCs/>
                <w:szCs w:val="22"/>
              </w:rPr>
              <w:t xml:space="preserve">The proposed decking would adjoin the existing two-storey and single storey rear extension, resulting in the development projecting a maximum of 7.95m from the original dwellinghouse. </w:t>
            </w:r>
          </w:p>
          <w:p w14:paraId="36E9A93D" w14:textId="77777777" w:rsidR="006A4140" w:rsidRPr="00723717" w:rsidRDefault="006A4140" w:rsidP="00723717">
            <w:pPr>
              <w:contextualSpacing/>
              <w:jc w:val="both"/>
              <w:rPr>
                <w:rFonts w:ascii="Calibri" w:hAnsi="Calibri"/>
                <w:b/>
                <w:bCs/>
                <w:szCs w:val="22"/>
              </w:rPr>
            </w:pPr>
          </w:p>
          <w:p w14:paraId="723DA61F"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k) it would consist of or include – </w:t>
            </w:r>
          </w:p>
          <w:p w14:paraId="421AE0E2" w14:textId="77777777" w:rsidR="006A4140" w:rsidRPr="006A4140" w:rsidRDefault="006A4140" w:rsidP="006A4140">
            <w:pPr>
              <w:contextualSpacing/>
              <w:jc w:val="both"/>
              <w:rPr>
                <w:rFonts w:ascii="Calibri" w:hAnsi="Calibri"/>
                <w:szCs w:val="22"/>
              </w:rPr>
            </w:pPr>
          </w:p>
          <w:p w14:paraId="1C320E0D"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(i) the construction or provision of a verandah, balcony or raised platform, </w:t>
            </w:r>
          </w:p>
          <w:p w14:paraId="4751DB4B" w14:textId="77777777" w:rsidR="006A4140" w:rsidRPr="006A4140" w:rsidRDefault="006A4140" w:rsidP="006A4140">
            <w:pPr>
              <w:contextualSpacing/>
              <w:jc w:val="both"/>
              <w:rPr>
                <w:rFonts w:ascii="Calibri" w:hAnsi="Calibri"/>
                <w:szCs w:val="22"/>
              </w:rPr>
            </w:pPr>
          </w:p>
          <w:p w14:paraId="2A56AC88" w14:textId="77777777" w:rsidR="006A4140" w:rsidRPr="006A4140" w:rsidRDefault="006A4140" w:rsidP="006A4140">
            <w:pPr>
              <w:contextualSpacing/>
              <w:jc w:val="both"/>
              <w:rPr>
                <w:rFonts w:ascii="Calibri" w:hAnsi="Calibri"/>
                <w:szCs w:val="22"/>
              </w:rPr>
            </w:pPr>
            <w:r w:rsidRPr="006A4140">
              <w:rPr>
                <w:rFonts w:ascii="Calibri" w:hAnsi="Calibri"/>
                <w:szCs w:val="22"/>
              </w:rPr>
              <w:t xml:space="preserve">(ii) the installation, alteration, or replacement of a microwave antenna, </w:t>
            </w:r>
          </w:p>
          <w:p w14:paraId="5A25A08A" w14:textId="77777777" w:rsidR="006A4140" w:rsidRPr="006A4140" w:rsidRDefault="006A4140" w:rsidP="006A4140">
            <w:pPr>
              <w:contextualSpacing/>
              <w:jc w:val="both"/>
              <w:rPr>
                <w:rFonts w:ascii="Calibri" w:hAnsi="Calibri"/>
                <w:szCs w:val="22"/>
              </w:rPr>
            </w:pPr>
          </w:p>
          <w:p w14:paraId="708CC4BE" w14:textId="77777777" w:rsidR="006A4140" w:rsidRPr="006A4140" w:rsidRDefault="006A4140" w:rsidP="006A4140">
            <w:pPr>
              <w:contextualSpacing/>
              <w:jc w:val="both"/>
              <w:rPr>
                <w:rFonts w:ascii="Calibri" w:hAnsi="Calibri"/>
                <w:szCs w:val="22"/>
              </w:rPr>
            </w:pPr>
            <w:r w:rsidRPr="006A4140">
              <w:rPr>
                <w:rFonts w:ascii="Calibri" w:hAnsi="Calibri"/>
                <w:szCs w:val="22"/>
              </w:rPr>
              <w:t>(iii) the installation, alteration or replacement of a chimney, flue or soil and vent pipe, or</w:t>
            </w:r>
          </w:p>
          <w:p w14:paraId="63649B77" w14:textId="77777777" w:rsidR="006A4140" w:rsidRPr="006A4140" w:rsidRDefault="006A4140" w:rsidP="006A4140">
            <w:pPr>
              <w:contextualSpacing/>
              <w:jc w:val="both"/>
              <w:rPr>
                <w:rFonts w:ascii="Calibri" w:hAnsi="Calibri"/>
                <w:szCs w:val="22"/>
              </w:rPr>
            </w:pPr>
          </w:p>
          <w:p w14:paraId="25AD1A8B" w14:textId="77777777" w:rsidR="006A4140" w:rsidRPr="006A4140" w:rsidRDefault="006A4140" w:rsidP="006A4140">
            <w:pPr>
              <w:contextualSpacing/>
              <w:jc w:val="both"/>
              <w:rPr>
                <w:rFonts w:ascii="Calibri" w:hAnsi="Calibri"/>
                <w:szCs w:val="22"/>
              </w:rPr>
            </w:pPr>
            <w:r w:rsidRPr="006A4140">
              <w:rPr>
                <w:rFonts w:ascii="Calibri" w:hAnsi="Calibri"/>
                <w:szCs w:val="22"/>
              </w:rPr>
              <w:t>(iv) an alteration to any part of the roof of the dwellinghouse; or</w:t>
            </w:r>
          </w:p>
          <w:p w14:paraId="7CE01910" w14:textId="77777777" w:rsidR="006A4140" w:rsidRPr="006A4140" w:rsidRDefault="006A4140" w:rsidP="006A4140">
            <w:pPr>
              <w:contextualSpacing/>
              <w:jc w:val="both"/>
              <w:rPr>
                <w:rFonts w:ascii="Calibri" w:hAnsi="Calibri"/>
                <w:b/>
                <w:bCs/>
                <w:szCs w:val="22"/>
              </w:rPr>
            </w:pPr>
          </w:p>
          <w:p w14:paraId="083D0F24" w14:textId="2AC3F192" w:rsidR="00923664" w:rsidRPr="00923664" w:rsidRDefault="00923664" w:rsidP="00923664">
            <w:pPr>
              <w:contextualSpacing/>
              <w:jc w:val="both"/>
              <w:rPr>
                <w:rFonts w:ascii="Calibri" w:hAnsi="Calibri"/>
                <w:b/>
                <w:bCs/>
                <w:szCs w:val="22"/>
              </w:rPr>
            </w:pPr>
            <w:r w:rsidRPr="00923664">
              <w:rPr>
                <w:rFonts w:ascii="Calibri" w:hAnsi="Calibri"/>
                <w:b/>
                <w:bCs/>
                <w:szCs w:val="22"/>
              </w:rPr>
              <w:t>The Householder Technical Guidance states that</w:t>
            </w:r>
            <w:r>
              <w:rPr>
                <w:rFonts w:ascii="Calibri" w:hAnsi="Calibri"/>
                <w:b/>
                <w:bCs/>
                <w:szCs w:val="22"/>
              </w:rPr>
              <w:t xml:space="preserve"> ‘a raised platform is any platform with a height greater than 0.3 metres’ and that </w:t>
            </w:r>
            <w:r w:rsidRPr="00923664">
              <w:rPr>
                <w:rFonts w:ascii="Calibri" w:hAnsi="Calibri"/>
                <w:b/>
                <w:bCs/>
                <w:szCs w:val="22"/>
              </w:rPr>
              <w:t xml:space="preserve">‘references to height is the height measured from ground level. (Note, ground level is the surface of the ground immediately adjacent to the building in question and would not include </w:t>
            </w:r>
            <w:r w:rsidRPr="00923664">
              <w:rPr>
                <w:rFonts w:ascii="Calibri" w:hAnsi="Calibri"/>
                <w:b/>
                <w:bCs/>
                <w:szCs w:val="22"/>
              </w:rPr>
              <w:lastRenderedPageBreak/>
              <w:t xml:space="preserve">any addition laid on top of the ground such as decking. Where ground level is not uniform (for example if the ground is sloping), then the ground level is the highest part of the surface of the ground next to the building.)’ </w:t>
            </w:r>
          </w:p>
          <w:p w14:paraId="297A86E9" w14:textId="77777777" w:rsidR="00923664" w:rsidRPr="00923664" w:rsidRDefault="00923664" w:rsidP="00923664">
            <w:pPr>
              <w:contextualSpacing/>
              <w:jc w:val="both"/>
              <w:rPr>
                <w:rFonts w:ascii="Calibri" w:hAnsi="Calibri"/>
                <w:b/>
                <w:bCs/>
                <w:szCs w:val="22"/>
              </w:rPr>
            </w:pPr>
          </w:p>
          <w:p w14:paraId="5C966046" w14:textId="432CDA6A" w:rsidR="00923664" w:rsidRPr="00923664" w:rsidRDefault="00923664" w:rsidP="00923664">
            <w:pPr>
              <w:contextualSpacing/>
              <w:jc w:val="both"/>
              <w:rPr>
                <w:rFonts w:ascii="Calibri" w:hAnsi="Calibri"/>
                <w:b/>
                <w:bCs/>
                <w:szCs w:val="22"/>
              </w:rPr>
            </w:pPr>
            <w:r w:rsidRPr="00923664">
              <w:rPr>
                <w:rFonts w:ascii="Calibri" w:hAnsi="Calibri"/>
                <w:b/>
                <w:bCs/>
                <w:szCs w:val="22"/>
              </w:rPr>
              <w:t xml:space="preserve">In this context, the proposal would not exceed </w:t>
            </w:r>
            <w:r>
              <w:rPr>
                <w:rFonts w:ascii="Calibri" w:hAnsi="Calibri"/>
                <w:b/>
                <w:bCs/>
                <w:szCs w:val="22"/>
              </w:rPr>
              <w:t>0.3m</w:t>
            </w:r>
            <w:r w:rsidRPr="00923664">
              <w:rPr>
                <w:rFonts w:ascii="Calibri" w:hAnsi="Calibri"/>
                <w:b/>
                <w:bCs/>
                <w:szCs w:val="22"/>
              </w:rPr>
              <w:t xml:space="preserve"> in height when measured from the highest part of the surface of the ground next to the </w:t>
            </w:r>
            <w:r>
              <w:rPr>
                <w:rFonts w:ascii="Calibri" w:hAnsi="Calibri"/>
                <w:b/>
                <w:bCs/>
                <w:szCs w:val="22"/>
              </w:rPr>
              <w:t>development</w:t>
            </w:r>
            <w:r w:rsidRPr="00923664">
              <w:rPr>
                <w:rFonts w:ascii="Calibri" w:hAnsi="Calibri"/>
                <w:b/>
                <w:bCs/>
                <w:szCs w:val="22"/>
              </w:rPr>
              <w:t xml:space="preserve"> and is therefore </w:t>
            </w:r>
            <w:r>
              <w:rPr>
                <w:rFonts w:ascii="Calibri" w:hAnsi="Calibri"/>
                <w:b/>
                <w:bCs/>
                <w:szCs w:val="22"/>
              </w:rPr>
              <w:t xml:space="preserve">not considered a raised platform. </w:t>
            </w:r>
          </w:p>
          <w:p w14:paraId="404598B4" w14:textId="77777777" w:rsidR="00723717" w:rsidRDefault="00723717" w:rsidP="00723717">
            <w:pPr>
              <w:contextualSpacing/>
              <w:jc w:val="both"/>
              <w:rPr>
                <w:rFonts w:ascii="Calibri" w:hAnsi="Calibri"/>
                <w:b/>
                <w:bCs/>
                <w:szCs w:val="22"/>
              </w:rPr>
            </w:pPr>
          </w:p>
          <w:p w14:paraId="77C4E5C2" w14:textId="77777777" w:rsidR="00923664" w:rsidRPr="00923664" w:rsidRDefault="00923664" w:rsidP="00923664">
            <w:pPr>
              <w:contextualSpacing/>
              <w:jc w:val="both"/>
              <w:rPr>
                <w:rFonts w:ascii="Calibri" w:hAnsi="Calibri"/>
                <w:szCs w:val="22"/>
              </w:rPr>
            </w:pPr>
            <w:r w:rsidRPr="00923664">
              <w:rPr>
                <w:rFonts w:ascii="Calibri" w:hAnsi="Calibri"/>
                <w:szCs w:val="22"/>
              </w:rPr>
              <w:t xml:space="preserve">l) the dwellinghouse is built under Part 20 of this Schedule (construction of new dwellinghouses) </w:t>
            </w:r>
          </w:p>
          <w:p w14:paraId="57AF29D4" w14:textId="77777777" w:rsidR="00923664" w:rsidRPr="00923664" w:rsidRDefault="00923664" w:rsidP="00923664">
            <w:pPr>
              <w:contextualSpacing/>
              <w:jc w:val="both"/>
              <w:rPr>
                <w:rFonts w:ascii="Calibri" w:hAnsi="Calibri"/>
                <w:b/>
                <w:bCs/>
                <w:szCs w:val="22"/>
              </w:rPr>
            </w:pPr>
          </w:p>
          <w:p w14:paraId="75E488A6" w14:textId="77777777" w:rsidR="00923664" w:rsidRPr="00923664" w:rsidRDefault="00923664" w:rsidP="00923664">
            <w:pPr>
              <w:contextualSpacing/>
              <w:jc w:val="both"/>
              <w:rPr>
                <w:rFonts w:ascii="Calibri" w:hAnsi="Calibri"/>
                <w:b/>
                <w:bCs/>
                <w:szCs w:val="22"/>
              </w:rPr>
            </w:pPr>
            <w:r w:rsidRPr="00923664">
              <w:rPr>
                <w:rFonts w:ascii="Calibri" w:hAnsi="Calibri"/>
                <w:b/>
                <w:bCs/>
                <w:szCs w:val="22"/>
              </w:rPr>
              <w:t xml:space="preserve">The dwellinghouse is not built under Part 20 of this Schedule. </w:t>
            </w:r>
          </w:p>
          <w:p w14:paraId="3574DFAC" w14:textId="77777777" w:rsidR="00923664" w:rsidRPr="00723717" w:rsidRDefault="00923664" w:rsidP="00723717">
            <w:pPr>
              <w:contextualSpacing/>
              <w:jc w:val="both"/>
              <w:rPr>
                <w:rFonts w:ascii="Calibri" w:hAnsi="Calibri"/>
                <w:b/>
                <w:bCs/>
                <w:szCs w:val="22"/>
              </w:rPr>
            </w:pPr>
          </w:p>
          <w:p w14:paraId="25C59381" w14:textId="77777777" w:rsidR="00923664" w:rsidRPr="00923664" w:rsidRDefault="00923664" w:rsidP="00923664">
            <w:pPr>
              <w:contextualSpacing/>
              <w:jc w:val="both"/>
              <w:rPr>
                <w:rFonts w:ascii="Calibri" w:hAnsi="Calibri"/>
                <w:bCs/>
                <w:szCs w:val="22"/>
                <w:u w:val="single"/>
              </w:rPr>
            </w:pPr>
            <w:r w:rsidRPr="00923664">
              <w:rPr>
                <w:rFonts w:ascii="Calibri" w:hAnsi="Calibri"/>
                <w:bCs/>
                <w:szCs w:val="22"/>
                <w:u w:val="single"/>
              </w:rPr>
              <w:t xml:space="preserve">A.2 In the case of a dwellinghouse on article 2(3) land, development is not permitted by Class A if – </w:t>
            </w:r>
          </w:p>
          <w:p w14:paraId="27B87795" w14:textId="77777777" w:rsidR="00923664" w:rsidRPr="00923664" w:rsidRDefault="00923664" w:rsidP="00923664">
            <w:pPr>
              <w:contextualSpacing/>
              <w:jc w:val="both"/>
              <w:rPr>
                <w:rFonts w:ascii="Calibri" w:hAnsi="Calibri"/>
                <w:bCs/>
                <w:szCs w:val="22"/>
                <w:u w:val="single"/>
              </w:rPr>
            </w:pPr>
          </w:p>
          <w:p w14:paraId="6AD0600D"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a) it would consist of or include the cladding of any part of the exterior of the dwellinghouse with stone, artificial stone, pebble dash, render, timber, plastic or tiles; </w:t>
            </w:r>
          </w:p>
          <w:p w14:paraId="5701B327" w14:textId="77777777" w:rsidR="00923664" w:rsidRPr="00923664" w:rsidRDefault="00923664" w:rsidP="00923664">
            <w:pPr>
              <w:contextualSpacing/>
              <w:jc w:val="both"/>
              <w:rPr>
                <w:rFonts w:ascii="Calibri" w:hAnsi="Calibri"/>
                <w:bCs/>
                <w:szCs w:val="22"/>
              </w:rPr>
            </w:pPr>
          </w:p>
          <w:p w14:paraId="7742D6AD"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b) the enlarged part of the dwellinghouse would extend beyond a wall forming a side elevation of the original dwellinghouse; </w:t>
            </w:r>
          </w:p>
          <w:p w14:paraId="5A32A02F" w14:textId="77777777" w:rsidR="00923664" w:rsidRPr="00923664" w:rsidRDefault="00923664" w:rsidP="00923664">
            <w:pPr>
              <w:contextualSpacing/>
              <w:jc w:val="both"/>
              <w:rPr>
                <w:rFonts w:ascii="Calibri" w:hAnsi="Calibri"/>
                <w:bCs/>
                <w:szCs w:val="22"/>
              </w:rPr>
            </w:pPr>
          </w:p>
          <w:p w14:paraId="6338164B"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c) the enlarged part of the dwellinghouse would have more than a single storey and extend beyond the rear wall of the original dwellinghouse; or</w:t>
            </w:r>
          </w:p>
          <w:p w14:paraId="79BC38AC" w14:textId="77777777" w:rsidR="00923664" w:rsidRPr="00923664" w:rsidRDefault="00923664" w:rsidP="00923664">
            <w:pPr>
              <w:contextualSpacing/>
              <w:jc w:val="both"/>
              <w:rPr>
                <w:rFonts w:ascii="Calibri" w:hAnsi="Calibri"/>
                <w:bCs/>
                <w:szCs w:val="22"/>
              </w:rPr>
            </w:pPr>
          </w:p>
          <w:p w14:paraId="44D7213C"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ca) any total enlargement (being the enlarged part together with any existing enlargement of the original dwellinghouse to which it will be joined) exceeds or would exceed the limits set out in sub-paragraphs b) and c). </w:t>
            </w:r>
          </w:p>
          <w:p w14:paraId="0C22D34A" w14:textId="77777777" w:rsidR="00923664" w:rsidRPr="00923664" w:rsidRDefault="00923664" w:rsidP="00923664">
            <w:pPr>
              <w:contextualSpacing/>
              <w:jc w:val="both"/>
              <w:rPr>
                <w:rFonts w:ascii="Calibri" w:hAnsi="Calibri"/>
                <w:bCs/>
                <w:szCs w:val="22"/>
              </w:rPr>
            </w:pPr>
          </w:p>
          <w:p w14:paraId="2F108537" w14:textId="77777777" w:rsidR="00923664" w:rsidRPr="00923664" w:rsidRDefault="00923664" w:rsidP="00923664">
            <w:pPr>
              <w:contextualSpacing/>
              <w:jc w:val="both"/>
              <w:rPr>
                <w:rFonts w:ascii="Calibri" w:hAnsi="Calibri"/>
                <w:b/>
                <w:bCs/>
                <w:szCs w:val="22"/>
              </w:rPr>
            </w:pPr>
            <w:r w:rsidRPr="00923664">
              <w:rPr>
                <w:rFonts w:ascii="Calibri" w:hAnsi="Calibri"/>
                <w:b/>
                <w:bCs/>
                <w:szCs w:val="22"/>
              </w:rPr>
              <w:t xml:space="preserve">The dwelling is not sited on article 2(3) land. </w:t>
            </w:r>
          </w:p>
          <w:p w14:paraId="7C02742E" w14:textId="77777777" w:rsidR="00723717" w:rsidRDefault="00723717" w:rsidP="004528AA">
            <w:pPr>
              <w:contextualSpacing/>
              <w:jc w:val="both"/>
              <w:rPr>
                <w:rFonts w:ascii="Calibri" w:hAnsi="Calibri"/>
                <w:bCs/>
                <w:szCs w:val="22"/>
              </w:rPr>
            </w:pPr>
          </w:p>
          <w:p w14:paraId="046AFA91" w14:textId="77777777" w:rsidR="00923664" w:rsidRPr="00923664" w:rsidRDefault="00923664" w:rsidP="00923664">
            <w:pPr>
              <w:contextualSpacing/>
              <w:jc w:val="both"/>
              <w:rPr>
                <w:rFonts w:ascii="Calibri" w:hAnsi="Calibri"/>
                <w:bCs/>
                <w:szCs w:val="22"/>
                <w:u w:val="single"/>
              </w:rPr>
            </w:pPr>
            <w:r w:rsidRPr="00923664">
              <w:rPr>
                <w:rFonts w:ascii="Calibri" w:hAnsi="Calibri"/>
                <w:bCs/>
                <w:szCs w:val="22"/>
                <w:u w:val="single"/>
              </w:rPr>
              <w:t xml:space="preserve">A.3 Development is permitted by Class A subject to the following conditions – </w:t>
            </w:r>
          </w:p>
          <w:p w14:paraId="171B507D" w14:textId="77777777" w:rsidR="00923664" w:rsidRPr="00923664" w:rsidRDefault="00923664" w:rsidP="00923664">
            <w:pPr>
              <w:contextualSpacing/>
              <w:jc w:val="both"/>
              <w:rPr>
                <w:rFonts w:ascii="Calibri" w:hAnsi="Calibri"/>
                <w:bCs/>
                <w:szCs w:val="22"/>
                <w:u w:val="single"/>
              </w:rPr>
            </w:pPr>
          </w:p>
          <w:p w14:paraId="0DEB8DA6"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a) the materials used in any exterior work (other than materials used in the construction of a conservatory) must be of a similar appearance to those used in the construction of the exterior of the existing dwellinghouse; </w:t>
            </w:r>
          </w:p>
          <w:p w14:paraId="20A5E2A9" w14:textId="77777777" w:rsidR="00923664" w:rsidRPr="00923664" w:rsidRDefault="00923664" w:rsidP="00923664">
            <w:pPr>
              <w:contextualSpacing/>
              <w:jc w:val="both"/>
              <w:rPr>
                <w:rFonts w:ascii="Calibri" w:hAnsi="Calibri"/>
                <w:bCs/>
                <w:szCs w:val="22"/>
              </w:rPr>
            </w:pPr>
          </w:p>
          <w:p w14:paraId="78EF1091" w14:textId="4A3EDD82" w:rsidR="00923664" w:rsidRDefault="00923664" w:rsidP="004528AA">
            <w:pPr>
              <w:contextualSpacing/>
              <w:jc w:val="both"/>
              <w:rPr>
                <w:rFonts w:ascii="Calibri" w:hAnsi="Calibri"/>
                <w:b/>
                <w:szCs w:val="22"/>
              </w:rPr>
            </w:pPr>
            <w:r>
              <w:rPr>
                <w:rFonts w:ascii="Calibri" w:hAnsi="Calibri"/>
                <w:b/>
                <w:szCs w:val="22"/>
              </w:rPr>
              <w:t>N/A</w:t>
            </w:r>
          </w:p>
          <w:p w14:paraId="5AA8BB92" w14:textId="77777777" w:rsidR="00923664" w:rsidRDefault="00923664" w:rsidP="004528AA">
            <w:pPr>
              <w:contextualSpacing/>
              <w:jc w:val="both"/>
              <w:rPr>
                <w:rFonts w:ascii="Calibri" w:hAnsi="Calibri"/>
                <w:b/>
                <w:szCs w:val="22"/>
              </w:rPr>
            </w:pPr>
          </w:p>
          <w:p w14:paraId="56E8F184"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b) any upper-floor windows located in a wall or roof slope forming a side elevation of the dwellinghouse must be – </w:t>
            </w:r>
          </w:p>
          <w:p w14:paraId="41864A5E" w14:textId="77777777" w:rsidR="00923664" w:rsidRPr="00923664" w:rsidRDefault="00923664" w:rsidP="00923664">
            <w:pPr>
              <w:contextualSpacing/>
              <w:jc w:val="both"/>
              <w:rPr>
                <w:rFonts w:ascii="Calibri" w:hAnsi="Calibri"/>
                <w:bCs/>
                <w:szCs w:val="22"/>
              </w:rPr>
            </w:pPr>
          </w:p>
          <w:p w14:paraId="57DFC3D3"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(i) obscure-glazed, and </w:t>
            </w:r>
          </w:p>
          <w:p w14:paraId="3E686106" w14:textId="77777777" w:rsidR="00923664" w:rsidRPr="00923664" w:rsidRDefault="00923664" w:rsidP="00923664">
            <w:pPr>
              <w:contextualSpacing/>
              <w:jc w:val="both"/>
              <w:rPr>
                <w:rFonts w:ascii="Calibri" w:hAnsi="Calibri"/>
                <w:bCs/>
                <w:szCs w:val="22"/>
              </w:rPr>
            </w:pPr>
          </w:p>
          <w:p w14:paraId="455F082F"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(ii) non-opening unless the parts of the window which can be opened are more than 1.7m above the floor of the room in which the window is installed; and </w:t>
            </w:r>
          </w:p>
          <w:p w14:paraId="69C9C737" w14:textId="77777777" w:rsidR="00923664" w:rsidRPr="00923664" w:rsidRDefault="00923664" w:rsidP="00923664">
            <w:pPr>
              <w:contextualSpacing/>
              <w:jc w:val="both"/>
              <w:rPr>
                <w:rFonts w:ascii="Calibri" w:hAnsi="Calibri"/>
                <w:b/>
                <w:szCs w:val="22"/>
              </w:rPr>
            </w:pPr>
          </w:p>
          <w:p w14:paraId="193DC2EA" w14:textId="6D44F211" w:rsidR="00923664" w:rsidRDefault="00923664" w:rsidP="00923664">
            <w:pPr>
              <w:contextualSpacing/>
              <w:jc w:val="both"/>
              <w:rPr>
                <w:rFonts w:ascii="Calibri" w:hAnsi="Calibri"/>
                <w:b/>
                <w:bCs/>
                <w:szCs w:val="22"/>
              </w:rPr>
            </w:pPr>
            <w:r>
              <w:rPr>
                <w:rFonts w:ascii="Calibri" w:hAnsi="Calibri"/>
                <w:b/>
                <w:bCs/>
                <w:szCs w:val="22"/>
              </w:rPr>
              <w:t>N/A</w:t>
            </w:r>
          </w:p>
          <w:p w14:paraId="7C0AD35D" w14:textId="77777777" w:rsidR="00923664" w:rsidRPr="00923664" w:rsidRDefault="00923664" w:rsidP="00923664">
            <w:pPr>
              <w:contextualSpacing/>
              <w:jc w:val="both"/>
              <w:rPr>
                <w:rFonts w:ascii="Calibri" w:hAnsi="Calibri"/>
                <w:b/>
                <w:szCs w:val="22"/>
              </w:rPr>
            </w:pPr>
          </w:p>
          <w:p w14:paraId="716B3CD5" w14:textId="77777777" w:rsidR="00923664" w:rsidRPr="00923664" w:rsidRDefault="00923664" w:rsidP="00923664">
            <w:pPr>
              <w:contextualSpacing/>
              <w:jc w:val="both"/>
              <w:rPr>
                <w:rFonts w:ascii="Calibri" w:hAnsi="Calibri"/>
                <w:bCs/>
                <w:szCs w:val="22"/>
              </w:rPr>
            </w:pPr>
            <w:r w:rsidRPr="00923664">
              <w:rPr>
                <w:rFonts w:ascii="Calibri" w:hAnsi="Calibri"/>
                <w:bCs/>
                <w:szCs w:val="22"/>
              </w:rPr>
              <w:t xml:space="preserve">c) where the enlarged part of the dwellinghouse has more than a single storey or forms an upper storey on an existing enlargement of the original dwellinghouse, the roof pitch of the enlarged part must, so far as practicable, be the same as the roof pitch of the original dwellinghouse. </w:t>
            </w:r>
          </w:p>
          <w:p w14:paraId="3A09AF91" w14:textId="77777777" w:rsidR="00923664" w:rsidRPr="00923664" w:rsidRDefault="00923664" w:rsidP="00923664">
            <w:pPr>
              <w:contextualSpacing/>
              <w:jc w:val="both"/>
              <w:rPr>
                <w:rFonts w:ascii="Calibri" w:hAnsi="Calibri"/>
                <w:b/>
                <w:szCs w:val="22"/>
              </w:rPr>
            </w:pPr>
          </w:p>
          <w:p w14:paraId="20A10EA4" w14:textId="7CD2230A" w:rsidR="00923664" w:rsidRPr="00923664" w:rsidRDefault="00923664" w:rsidP="00923664">
            <w:pPr>
              <w:contextualSpacing/>
              <w:jc w:val="both"/>
              <w:rPr>
                <w:rFonts w:ascii="Calibri" w:hAnsi="Calibri"/>
                <w:b/>
                <w:bCs/>
                <w:szCs w:val="22"/>
              </w:rPr>
            </w:pPr>
            <w:r>
              <w:rPr>
                <w:rFonts w:ascii="Calibri" w:hAnsi="Calibri"/>
                <w:b/>
                <w:bCs/>
                <w:szCs w:val="22"/>
              </w:rPr>
              <w:t>N/A</w:t>
            </w:r>
          </w:p>
          <w:p w14:paraId="7AC53BDF" w14:textId="0EB7FE4D" w:rsidR="004528AA" w:rsidRPr="00767543" w:rsidRDefault="004528AA" w:rsidP="004528AA">
            <w:pPr>
              <w:contextualSpacing/>
              <w:jc w:val="both"/>
              <w:rPr>
                <w:rFonts w:ascii="Calibri" w:hAnsi="Calibri"/>
                <w:bCs/>
                <w:szCs w:val="22"/>
              </w:rPr>
            </w:pPr>
          </w:p>
        </w:tc>
      </w:tr>
      <w:tr w:rsidR="00C0704D" w:rsidRPr="00D2449B" w14:paraId="0A9D02B4" w14:textId="77777777" w:rsidTr="001078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923664">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923664">
            <w:pPr>
              <w:contextualSpacing/>
              <w:jc w:val="both"/>
              <w:rPr>
                <w:rFonts w:ascii="Calibri" w:hAnsi="Calibri"/>
                <w:bCs/>
                <w:color w:val="548DD4" w:themeColor="text2" w:themeTint="99"/>
                <w:szCs w:val="22"/>
              </w:rPr>
            </w:pPr>
          </w:p>
          <w:p w14:paraId="31DCFC3B" w14:textId="0AD82F36" w:rsidR="009F4443" w:rsidRDefault="00923664" w:rsidP="00923664">
            <w:pPr>
              <w:pStyle w:val="Header"/>
              <w:tabs>
                <w:tab w:val="clear" w:pos="4153"/>
                <w:tab w:val="clear" w:pos="8306"/>
              </w:tabs>
              <w:contextualSpacing/>
              <w:jc w:val="both"/>
              <w:rPr>
                <w:rFonts w:ascii="Calibri" w:hAnsi="Calibri"/>
                <w:bCs/>
                <w:szCs w:val="22"/>
              </w:rPr>
            </w:pPr>
            <w:r w:rsidRPr="00923664">
              <w:rPr>
                <w:rFonts w:ascii="Calibri" w:hAnsi="Calibri"/>
                <w:bCs/>
                <w:szCs w:val="22"/>
              </w:rPr>
              <w:lastRenderedPageBreak/>
              <w:t>The proposed development</w:t>
            </w:r>
            <w:r>
              <w:rPr>
                <w:rFonts w:ascii="Calibri" w:hAnsi="Calibri"/>
                <w:bCs/>
                <w:szCs w:val="22"/>
              </w:rPr>
              <w:t xml:space="preserve"> fails to comply with all the criteria outlined within </w:t>
            </w:r>
            <w:r w:rsidRPr="00923664">
              <w:rPr>
                <w:rFonts w:ascii="Calibri" w:hAnsi="Calibri"/>
                <w:bCs/>
                <w:szCs w:val="22"/>
              </w:rPr>
              <w:t>Schedule 2 Part 1 Class A of the Town and Country Planning (General Permitted Development) (England) Order 2015 (as amended)</w:t>
            </w:r>
            <w:r>
              <w:rPr>
                <w:rFonts w:ascii="Calibri" w:hAnsi="Calibri"/>
                <w:bCs/>
                <w:szCs w:val="22"/>
              </w:rPr>
              <w:t xml:space="preserve"> and therefore does not constitute permitted development. </w:t>
            </w:r>
          </w:p>
          <w:p w14:paraId="3A4BD7A7" w14:textId="7EF17A26" w:rsidR="00923664" w:rsidRDefault="00923664" w:rsidP="00923664">
            <w:pPr>
              <w:pStyle w:val="Header"/>
              <w:tabs>
                <w:tab w:val="clear" w:pos="4153"/>
                <w:tab w:val="clear" w:pos="8306"/>
              </w:tabs>
              <w:contextualSpacing/>
              <w:jc w:val="both"/>
              <w:rPr>
                <w:rFonts w:ascii="Calibri" w:hAnsi="Calibri"/>
                <w:b/>
                <w:szCs w:val="22"/>
              </w:rPr>
            </w:pPr>
          </w:p>
        </w:tc>
      </w:tr>
      <w:tr w:rsidR="00C0704D" w:rsidRPr="00D2449B" w14:paraId="507FC89B" w14:textId="77777777" w:rsidTr="0010782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B0C3D6E" w:rsidR="00C0704D" w:rsidRPr="00D2449B" w:rsidRDefault="00923664" w:rsidP="00CD2CEF">
            <w:pPr>
              <w:rPr>
                <w:rFonts w:ascii="Calibri" w:hAnsi="Calibri"/>
                <w:bCs/>
                <w:szCs w:val="22"/>
              </w:rPr>
            </w:pPr>
            <w:r>
              <w:rPr>
                <w:rFonts w:ascii="Calibri" w:hAnsi="Calibri"/>
                <w:bCs/>
                <w:szCs w:val="22"/>
              </w:rPr>
              <w:t xml:space="preserve">That the Certificate of Lawfulness be refused. </w:t>
            </w:r>
          </w:p>
        </w:tc>
      </w:tr>
    </w:tbl>
    <w:p w14:paraId="513FB541" w14:textId="77777777" w:rsidR="0040002B" w:rsidRPr="00D2449B" w:rsidRDefault="0040002B">
      <w:pPr>
        <w:rPr>
          <w:rFonts w:ascii="Calibri" w:hAnsi="Calibri"/>
          <w:szCs w:val="22"/>
        </w:rPr>
      </w:pPr>
    </w:p>
    <w:sectPr w:rsidR="0040002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934"/>
    <w:rsid w:val="000B5CB5"/>
    <w:rsid w:val="00107824"/>
    <w:rsid w:val="00130035"/>
    <w:rsid w:val="00152100"/>
    <w:rsid w:val="001D4F7A"/>
    <w:rsid w:val="00233B6D"/>
    <w:rsid w:val="00250879"/>
    <w:rsid w:val="0029334A"/>
    <w:rsid w:val="002A01CF"/>
    <w:rsid w:val="002C6277"/>
    <w:rsid w:val="002F2580"/>
    <w:rsid w:val="00321B6E"/>
    <w:rsid w:val="0040002B"/>
    <w:rsid w:val="00440CB6"/>
    <w:rsid w:val="004528AA"/>
    <w:rsid w:val="0046548C"/>
    <w:rsid w:val="004947BB"/>
    <w:rsid w:val="004A5EA9"/>
    <w:rsid w:val="004C2434"/>
    <w:rsid w:val="004F0649"/>
    <w:rsid w:val="00510FA2"/>
    <w:rsid w:val="00556ECD"/>
    <w:rsid w:val="005E1C6C"/>
    <w:rsid w:val="005E65DF"/>
    <w:rsid w:val="00616F9B"/>
    <w:rsid w:val="00692B60"/>
    <w:rsid w:val="006A4140"/>
    <w:rsid w:val="006A71AD"/>
    <w:rsid w:val="006C2BFA"/>
    <w:rsid w:val="006C474D"/>
    <w:rsid w:val="006F6849"/>
    <w:rsid w:val="0070054B"/>
    <w:rsid w:val="00723717"/>
    <w:rsid w:val="00767543"/>
    <w:rsid w:val="00773A66"/>
    <w:rsid w:val="00776AE2"/>
    <w:rsid w:val="007816C2"/>
    <w:rsid w:val="00782FED"/>
    <w:rsid w:val="007C791C"/>
    <w:rsid w:val="007D7DF4"/>
    <w:rsid w:val="007E0D23"/>
    <w:rsid w:val="007F16D6"/>
    <w:rsid w:val="00811771"/>
    <w:rsid w:val="00824DB6"/>
    <w:rsid w:val="00837F4F"/>
    <w:rsid w:val="008542DE"/>
    <w:rsid w:val="008A28C8"/>
    <w:rsid w:val="008B26F4"/>
    <w:rsid w:val="00923664"/>
    <w:rsid w:val="0093223A"/>
    <w:rsid w:val="00992C6F"/>
    <w:rsid w:val="009F4443"/>
    <w:rsid w:val="00A42E82"/>
    <w:rsid w:val="00A579BB"/>
    <w:rsid w:val="00A63D55"/>
    <w:rsid w:val="00A95D89"/>
    <w:rsid w:val="00B93EB5"/>
    <w:rsid w:val="00BD3F03"/>
    <w:rsid w:val="00C0704D"/>
    <w:rsid w:val="00C25722"/>
    <w:rsid w:val="00C618DB"/>
    <w:rsid w:val="00C957F2"/>
    <w:rsid w:val="00D11007"/>
    <w:rsid w:val="00D17EB1"/>
    <w:rsid w:val="00D2449B"/>
    <w:rsid w:val="00D54E67"/>
    <w:rsid w:val="00DD62F6"/>
    <w:rsid w:val="00E46243"/>
    <w:rsid w:val="00E66534"/>
    <w:rsid w:val="00E72F6C"/>
    <w:rsid w:val="00EA09F9"/>
    <w:rsid w:val="00EC23C7"/>
    <w:rsid w:val="00ED00B7"/>
    <w:rsid w:val="00EF44E6"/>
    <w:rsid w:val="00F1621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2188">
      <w:bodyDiv w:val="1"/>
      <w:marLeft w:val="0"/>
      <w:marRight w:val="0"/>
      <w:marTop w:val="0"/>
      <w:marBottom w:val="0"/>
      <w:divBdr>
        <w:top w:val="none" w:sz="0" w:space="0" w:color="auto"/>
        <w:left w:val="none" w:sz="0" w:space="0" w:color="auto"/>
        <w:bottom w:val="none" w:sz="0" w:space="0" w:color="auto"/>
        <w:right w:val="none" w:sz="0" w:space="0" w:color="auto"/>
      </w:divBdr>
    </w:div>
    <w:div w:id="196704830">
      <w:bodyDiv w:val="1"/>
      <w:marLeft w:val="0"/>
      <w:marRight w:val="0"/>
      <w:marTop w:val="0"/>
      <w:marBottom w:val="0"/>
      <w:divBdr>
        <w:top w:val="none" w:sz="0" w:space="0" w:color="auto"/>
        <w:left w:val="none" w:sz="0" w:space="0" w:color="auto"/>
        <w:bottom w:val="none" w:sz="0" w:space="0" w:color="auto"/>
        <w:right w:val="none" w:sz="0" w:space="0" w:color="auto"/>
      </w:divBdr>
    </w:div>
    <w:div w:id="230653127">
      <w:bodyDiv w:val="1"/>
      <w:marLeft w:val="0"/>
      <w:marRight w:val="0"/>
      <w:marTop w:val="0"/>
      <w:marBottom w:val="0"/>
      <w:divBdr>
        <w:top w:val="none" w:sz="0" w:space="0" w:color="auto"/>
        <w:left w:val="none" w:sz="0" w:space="0" w:color="auto"/>
        <w:bottom w:val="none" w:sz="0" w:space="0" w:color="auto"/>
        <w:right w:val="none" w:sz="0" w:space="0" w:color="auto"/>
      </w:divBdr>
    </w:div>
    <w:div w:id="233511972">
      <w:bodyDiv w:val="1"/>
      <w:marLeft w:val="0"/>
      <w:marRight w:val="0"/>
      <w:marTop w:val="0"/>
      <w:marBottom w:val="0"/>
      <w:divBdr>
        <w:top w:val="none" w:sz="0" w:space="0" w:color="auto"/>
        <w:left w:val="none" w:sz="0" w:space="0" w:color="auto"/>
        <w:bottom w:val="none" w:sz="0" w:space="0" w:color="auto"/>
        <w:right w:val="none" w:sz="0" w:space="0" w:color="auto"/>
      </w:divBdr>
    </w:div>
    <w:div w:id="278294245">
      <w:bodyDiv w:val="1"/>
      <w:marLeft w:val="0"/>
      <w:marRight w:val="0"/>
      <w:marTop w:val="0"/>
      <w:marBottom w:val="0"/>
      <w:divBdr>
        <w:top w:val="none" w:sz="0" w:space="0" w:color="auto"/>
        <w:left w:val="none" w:sz="0" w:space="0" w:color="auto"/>
        <w:bottom w:val="none" w:sz="0" w:space="0" w:color="auto"/>
        <w:right w:val="none" w:sz="0" w:space="0" w:color="auto"/>
      </w:divBdr>
    </w:div>
    <w:div w:id="287391692">
      <w:bodyDiv w:val="1"/>
      <w:marLeft w:val="0"/>
      <w:marRight w:val="0"/>
      <w:marTop w:val="0"/>
      <w:marBottom w:val="0"/>
      <w:divBdr>
        <w:top w:val="none" w:sz="0" w:space="0" w:color="auto"/>
        <w:left w:val="none" w:sz="0" w:space="0" w:color="auto"/>
        <w:bottom w:val="none" w:sz="0" w:space="0" w:color="auto"/>
        <w:right w:val="none" w:sz="0" w:space="0" w:color="auto"/>
      </w:divBdr>
    </w:div>
    <w:div w:id="317656196">
      <w:bodyDiv w:val="1"/>
      <w:marLeft w:val="0"/>
      <w:marRight w:val="0"/>
      <w:marTop w:val="0"/>
      <w:marBottom w:val="0"/>
      <w:divBdr>
        <w:top w:val="none" w:sz="0" w:space="0" w:color="auto"/>
        <w:left w:val="none" w:sz="0" w:space="0" w:color="auto"/>
        <w:bottom w:val="none" w:sz="0" w:space="0" w:color="auto"/>
        <w:right w:val="none" w:sz="0" w:space="0" w:color="auto"/>
      </w:divBdr>
    </w:div>
    <w:div w:id="393815108">
      <w:bodyDiv w:val="1"/>
      <w:marLeft w:val="0"/>
      <w:marRight w:val="0"/>
      <w:marTop w:val="0"/>
      <w:marBottom w:val="0"/>
      <w:divBdr>
        <w:top w:val="none" w:sz="0" w:space="0" w:color="auto"/>
        <w:left w:val="none" w:sz="0" w:space="0" w:color="auto"/>
        <w:bottom w:val="none" w:sz="0" w:space="0" w:color="auto"/>
        <w:right w:val="none" w:sz="0" w:space="0" w:color="auto"/>
      </w:divBdr>
    </w:div>
    <w:div w:id="397555565">
      <w:bodyDiv w:val="1"/>
      <w:marLeft w:val="0"/>
      <w:marRight w:val="0"/>
      <w:marTop w:val="0"/>
      <w:marBottom w:val="0"/>
      <w:divBdr>
        <w:top w:val="none" w:sz="0" w:space="0" w:color="auto"/>
        <w:left w:val="none" w:sz="0" w:space="0" w:color="auto"/>
        <w:bottom w:val="none" w:sz="0" w:space="0" w:color="auto"/>
        <w:right w:val="none" w:sz="0" w:space="0" w:color="auto"/>
      </w:divBdr>
    </w:div>
    <w:div w:id="449472037">
      <w:bodyDiv w:val="1"/>
      <w:marLeft w:val="0"/>
      <w:marRight w:val="0"/>
      <w:marTop w:val="0"/>
      <w:marBottom w:val="0"/>
      <w:divBdr>
        <w:top w:val="none" w:sz="0" w:space="0" w:color="auto"/>
        <w:left w:val="none" w:sz="0" w:space="0" w:color="auto"/>
        <w:bottom w:val="none" w:sz="0" w:space="0" w:color="auto"/>
        <w:right w:val="none" w:sz="0" w:space="0" w:color="auto"/>
      </w:divBdr>
    </w:div>
    <w:div w:id="493447929">
      <w:bodyDiv w:val="1"/>
      <w:marLeft w:val="0"/>
      <w:marRight w:val="0"/>
      <w:marTop w:val="0"/>
      <w:marBottom w:val="0"/>
      <w:divBdr>
        <w:top w:val="none" w:sz="0" w:space="0" w:color="auto"/>
        <w:left w:val="none" w:sz="0" w:space="0" w:color="auto"/>
        <w:bottom w:val="none" w:sz="0" w:space="0" w:color="auto"/>
        <w:right w:val="none" w:sz="0" w:space="0" w:color="auto"/>
      </w:divBdr>
    </w:div>
    <w:div w:id="551355101">
      <w:bodyDiv w:val="1"/>
      <w:marLeft w:val="0"/>
      <w:marRight w:val="0"/>
      <w:marTop w:val="0"/>
      <w:marBottom w:val="0"/>
      <w:divBdr>
        <w:top w:val="none" w:sz="0" w:space="0" w:color="auto"/>
        <w:left w:val="none" w:sz="0" w:space="0" w:color="auto"/>
        <w:bottom w:val="none" w:sz="0" w:space="0" w:color="auto"/>
        <w:right w:val="none" w:sz="0" w:space="0" w:color="auto"/>
      </w:divBdr>
    </w:div>
    <w:div w:id="593125688">
      <w:bodyDiv w:val="1"/>
      <w:marLeft w:val="0"/>
      <w:marRight w:val="0"/>
      <w:marTop w:val="0"/>
      <w:marBottom w:val="0"/>
      <w:divBdr>
        <w:top w:val="none" w:sz="0" w:space="0" w:color="auto"/>
        <w:left w:val="none" w:sz="0" w:space="0" w:color="auto"/>
        <w:bottom w:val="none" w:sz="0" w:space="0" w:color="auto"/>
        <w:right w:val="none" w:sz="0" w:space="0" w:color="auto"/>
      </w:divBdr>
    </w:div>
    <w:div w:id="656029969">
      <w:bodyDiv w:val="1"/>
      <w:marLeft w:val="0"/>
      <w:marRight w:val="0"/>
      <w:marTop w:val="0"/>
      <w:marBottom w:val="0"/>
      <w:divBdr>
        <w:top w:val="none" w:sz="0" w:space="0" w:color="auto"/>
        <w:left w:val="none" w:sz="0" w:space="0" w:color="auto"/>
        <w:bottom w:val="none" w:sz="0" w:space="0" w:color="auto"/>
        <w:right w:val="none" w:sz="0" w:space="0" w:color="auto"/>
      </w:divBdr>
    </w:div>
    <w:div w:id="698236726">
      <w:bodyDiv w:val="1"/>
      <w:marLeft w:val="0"/>
      <w:marRight w:val="0"/>
      <w:marTop w:val="0"/>
      <w:marBottom w:val="0"/>
      <w:divBdr>
        <w:top w:val="none" w:sz="0" w:space="0" w:color="auto"/>
        <w:left w:val="none" w:sz="0" w:space="0" w:color="auto"/>
        <w:bottom w:val="none" w:sz="0" w:space="0" w:color="auto"/>
        <w:right w:val="none" w:sz="0" w:space="0" w:color="auto"/>
      </w:divBdr>
    </w:div>
    <w:div w:id="735319175">
      <w:bodyDiv w:val="1"/>
      <w:marLeft w:val="0"/>
      <w:marRight w:val="0"/>
      <w:marTop w:val="0"/>
      <w:marBottom w:val="0"/>
      <w:divBdr>
        <w:top w:val="none" w:sz="0" w:space="0" w:color="auto"/>
        <w:left w:val="none" w:sz="0" w:space="0" w:color="auto"/>
        <w:bottom w:val="none" w:sz="0" w:space="0" w:color="auto"/>
        <w:right w:val="none" w:sz="0" w:space="0" w:color="auto"/>
      </w:divBdr>
    </w:div>
    <w:div w:id="779682465">
      <w:bodyDiv w:val="1"/>
      <w:marLeft w:val="0"/>
      <w:marRight w:val="0"/>
      <w:marTop w:val="0"/>
      <w:marBottom w:val="0"/>
      <w:divBdr>
        <w:top w:val="none" w:sz="0" w:space="0" w:color="auto"/>
        <w:left w:val="none" w:sz="0" w:space="0" w:color="auto"/>
        <w:bottom w:val="none" w:sz="0" w:space="0" w:color="auto"/>
        <w:right w:val="none" w:sz="0" w:space="0" w:color="auto"/>
      </w:divBdr>
    </w:div>
    <w:div w:id="845941273">
      <w:bodyDiv w:val="1"/>
      <w:marLeft w:val="0"/>
      <w:marRight w:val="0"/>
      <w:marTop w:val="0"/>
      <w:marBottom w:val="0"/>
      <w:divBdr>
        <w:top w:val="none" w:sz="0" w:space="0" w:color="auto"/>
        <w:left w:val="none" w:sz="0" w:space="0" w:color="auto"/>
        <w:bottom w:val="none" w:sz="0" w:space="0" w:color="auto"/>
        <w:right w:val="none" w:sz="0" w:space="0" w:color="auto"/>
      </w:divBdr>
    </w:div>
    <w:div w:id="1035353807">
      <w:bodyDiv w:val="1"/>
      <w:marLeft w:val="0"/>
      <w:marRight w:val="0"/>
      <w:marTop w:val="0"/>
      <w:marBottom w:val="0"/>
      <w:divBdr>
        <w:top w:val="none" w:sz="0" w:space="0" w:color="auto"/>
        <w:left w:val="none" w:sz="0" w:space="0" w:color="auto"/>
        <w:bottom w:val="none" w:sz="0" w:space="0" w:color="auto"/>
        <w:right w:val="none" w:sz="0" w:space="0" w:color="auto"/>
      </w:divBdr>
    </w:div>
    <w:div w:id="1058363351">
      <w:bodyDiv w:val="1"/>
      <w:marLeft w:val="0"/>
      <w:marRight w:val="0"/>
      <w:marTop w:val="0"/>
      <w:marBottom w:val="0"/>
      <w:divBdr>
        <w:top w:val="none" w:sz="0" w:space="0" w:color="auto"/>
        <w:left w:val="none" w:sz="0" w:space="0" w:color="auto"/>
        <w:bottom w:val="none" w:sz="0" w:space="0" w:color="auto"/>
        <w:right w:val="none" w:sz="0" w:space="0" w:color="auto"/>
      </w:divBdr>
    </w:div>
    <w:div w:id="1076590679">
      <w:bodyDiv w:val="1"/>
      <w:marLeft w:val="0"/>
      <w:marRight w:val="0"/>
      <w:marTop w:val="0"/>
      <w:marBottom w:val="0"/>
      <w:divBdr>
        <w:top w:val="none" w:sz="0" w:space="0" w:color="auto"/>
        <w:left w:val="none" w:sz="0" w:space="0" w:color="auto"/>
        <w:bottom w:val="none" w:sz="0" w:space="0" w:color="auto"/>
        <w:right w:val="none" w:sz="0" w:space="0" w:color="auto"/>
      </w:divBdr>
    </w:div>
    <w:div w:id="1096369061">
      <w:bodyDiv w:val="1"/>
      <w:marLeft w:val="0"/>
      <w:marRight w:val="0"/>
      <w:marTop w:val="0"/>
      <w:marBottom w:val="0"/>
      <w:divBdr>
        <w:top w:val="none" w:sz="0" w:space="0" w:color="auto"/>
        <w:left w:val="none" w:sz="0" w:space="0" w:color="auto"/>
        <w:bottom w:val="none" w:sz="0" w:space="0" w:color="auto"/>
        <w:right w:val="none" w:sz="0" w:space="0" w:color="auto"/>
      </w:divBdr>
    </w:div>
    <w:div w:id="1154293392">
      <w:bodyDiv w:val="1"/>
      <w:marLeft w:val="0"/>
      <w:marRight w:val="0"/>
      <w:marTop w:val="0"/>
      <w:marBottom w:val="0"/>
      <w:divBdr>
        <w:top w:val="none" w:sz="0" w:space="0" w:color="auto"/>
        <w:left w:val="none" w:sz="0" w:space="0" w:color="auto"/>
        <w:bottom w:val="none" w:sz="0" w:space="0" w:color="auto"/>
        <w:right w:val="none" w:sz="0" w:space="0" w:color="auto"/>
      </w:divBdr>
    </w:div>
    <w:div w:id="1238980538">
      <w:bodyDiv w:val="1"/>
      <w:marLeft w:val="0"/>
      <w:marRight w:val="0"/>
      <w:marTop w:val="0"/>
      <w:marBottom w:val="0"/>
      <w:divBdr>
        <w:top w:val="none" w:sz="0" w:space="0" w:color="auto"/>
        <w:left w:val="none" w:sz="0" w:space="0" w:color="auto"/>
        <w:bottom w:val="none" w:sz="0" w:space="0" w:color="auto"/>
        <w:right w:val="none" w:sz="0" w:space="0" w:color="auto"/>
      </w:divBdr>
    </w:div>
    <w:div w:id="1414550395">
      <w:bodyDiv w:val="1"/>
      <w:marLeft w:val="0"/>
      <w:marRight w:val="0"/>
      <w:marTop w:val="0"/>
      <w:marBottom w:val="0"/>
      <w:divBdr>
        <w:top w:val="none" w:sz="0" w:space="0" w:color="auto"/>
        <w:left w:val="none" w:sz="0" w:space="0" w:color="auto"/>
        <w:bottom w:val="none" w:sz="0" w:space="0" w:color="auto"/>
        <w:right w:val="none" w:sz="0" w:space="0" w:color="auto"/>
      </w:divBdr>
    </w:div>
    <w:div w:id="1652097698">
      <w:bodyDiv w:val="1"/>
      <w:marLeft w:val="0"/>
      <w:marRight w:val="0"/>
      <w:marTop w:val="0"/>
      <w:marBottom w:val="0"/>
      <w:divBdr>
        <w:top w:val="none" w:sz="0" w:space="0" w:color="auto"/>
        <w:left w:val="none" w:sz="0" w:space="0" w:color="auto"/>
        <w:bottom w:val="none" w:sz="0" w:space="0" w:color="auto"/>
        <w:right w:val="none" w:sz="0" w:space="0" w:color="auto"/>
      </w:divBdr>
    </w:div>
    <w:div w:id="1727531769">
      <w:bodyDiv w:val="1"/>
      <w:marLeft w:val="0"/>
      <w:marRight w:val="0"/>
      <w:marTop w:val="0"/>
      <w:marBottom w:val="0"/>
      <w:divBdr>
        <w:top w:val="none" w:sz="0" w:space="0" w:color="auto"/>
        <w:left w:val="none" w:sz="0" w:space="0" w:color="auto"/>
        <w:bottom w:val="none" w:sz="0" w:space="0" w:color="auto"/>
        <w:right w:val="none" w:sz="0" w:space="0" w:color="auto"/>
      </w:divBdr>
    </w:div>
    <w:div w:id="1797135011">
      <w:bodyDiv w:val="1"/>
      <w:marLeft w:val="0"/>
      <w:marRight w:val="0"/>
      <w:marTop w:val="0"/>
      <w:marBottom w:val="0"/>
      <w:divBdr>
        <w:top w:val="none" w:sz="0" w:space="0" w:color="auto"/>
        <w:left w:val="none" w:sz="0" w:space="0" w:color="auto"/>
        <w:bottom w:val="none" w:sz="0" w:space="0" w:color="auto"/>
        <w:right w:val="none" w:sz="0" w:space="0" w:color="auto"/>
      </w:divBdr>
    </w:div>
    <w:div w:id="1801604052">
      <w:bodyDiv w:val="1"/>
      <w:marLeft w:val="0"/>
      <w:marRight w:val="0"/>
      <w:marTop w:val="0"/>
      <w:marBottom w:val="0"/>
      <w:divBdr>
        <w:top w:val="none" w:sz="0" w:space="0" w:color="auto"/>
        <w:left w:val="none" w:sz="0" w:space="0" w:color="auto"/>
        <w:bottom w:val="none" w:sz="0" w:space="0" w:color="auto"/>
        <w:right w:val="none" w:sz="0" w:space="0" w:color="auto"/>
      </w:divBdr>
    </w:div>
    <w:div w:id="1823815555">
      <w:bodyDiv w:val="1"/>
      <w:marLeft w:val="0"/>
      <w:marRight w:val="0"/>
      <w:marTop w:val="0"/>
      <w:marBottom w:val="0"/>
      <w:divBdr>
        <w:top w:val="none" w:sz="0" w:space="0" w:color="auto"/>
        <w:left w:val="none" w:sz="0" w:space="0" w:color="auto"/>
        <w:bottom w:val="none" w:sz="0" w:space="0" w:color="auto"/>
        <w:right w:val="none" w:sz="0" w:space="0" w:color="auto"/>
      </w:divBdr>
    </w:div>
    <w:div w:id="1843616310">
      <w:bodyDiv w:val="1"/>
      <w:marLeft w:val="0"/>
      <w:marRight w:val="0"/>
      <w:marTop w:val="0"/>
      <w:marBottom w:val="0"/>
      <w:divBdr>
        <w:top w:val="none" w:sz="0" w:space="0" w:color="auto"/>
        <w:left w:val="none" w:sz="0" w:space="0" w:color="auto"/>
        <w:bottom w:val="none" w:sz="0" w:space="0" w:color="auto"/>
        <w:right w:val="none" w:sz="0" w:space="0" w:color="auto"/>
      </w:divBdr>
    </w:div>
    <w:div w:id="1882815260">
      <w:bodyDiv w:val="1"/>
      <w:marLeft w:val="0"/>
      <w:marRight w:val="0"/>
      <w:marTop w:val="0"/>
      <w:marBottom w:val="0"/>
      <w:divBdr>
        <w:top w:val="none" w:sz="0" w:space="0" w:color="auto"/>
        <w:left w:val="none" w:sz="0" w:space="0" w:color="auto"/>
        <w:bottom w:val="none" w:sz="0" w:space="0" w:color="auto"/>
        <w:right w:val="none" w:sz="0" w:space="0" w:color="auto"/>
      </w:divBdr>
    </w:div>
    <w:div w:id="2013095403">
      <w:bodyDiv w:val="1"/>
      <w:marLeft w:val="0"/>
      <w:marRight w:val="0"/>
      <w:marTop w:val="0"/>
      <w:marBottom w:val="0"/>
      <w:divBdr>
        <w:top w:val="none" w:sz="0" w:space="0" w:color="auto"/>
        <w:left w:val="none" w:sz="0" w:space="0" w:color="auto"/>
        <w:bottom w:val="none" w:sz="0" w:space="0" w:color="auto"/>
        <w:right w:val="none" w:sz="0" w:space="0" w:color="auto"/>
      </w:divBdr>
    </w:div>
    <w:div w:id="209107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2024-11-21T16:29:00Z</dcterms:created>
  <dcterms:modified xsi:type="dcterms:W3CDTF">2024-11-21T16:29:00Z</dcterms:modified>
</cp:coreProperties>
</file>