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5CB3FF1" w:rsidR="00837F4F" w:rsidRPr="00D2449B" w:rsidRDefault="0069545C"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6058396" w:rsidR="00837F4F" w:rsidRPr="00D2449B" w:rsidRDefault="00C10D0A" w:rsidP="00D2449B">
            <w:pPr>
              <w:jc w:val="center"/>
              <w:rPr>
                <w:rFonts w:ascii="Calibri" w:hAnsi="Calibri"/>
                <w:b/>
                <w:szCs w:val="22"/>
              </w:rPr>
            </w:pPr>
            <w:r>
              <w:rPr>
                <w:rFonts w:ascii="Calibri" w:hAnsi="Calibri"/>
                <w:b/>
                <w:szCs w:val="22"/>
              </w:rPr>
              <w:t>25</w:t>
            </w:r>
            <w:r w:rsidR="006B250D">
              <w:rPr>
                <w:rFonts w:ascii="Calibri" w:hAnsi="Calibri"/>
                <w:b/>
                <w:szCs w:val="22"/>
              </w:rPr>
              <w:t>.</w:t>
            </w:r>
            <w:r w:rsidR="00AF4ABF">
              <w:rPr>
                <w:rFonts w:ascii="Calibri" w:hAnsi="Calibri"/>
                <w:b/>
                <w:szCs w:val="22"/>
              </w:rPr>
              <w:t>11</w:t>
            </w:r>
            <w:r w:rsidR="006B250D">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0FBD6FC" w:rsidR="00837F4F" w:rsidRPr="00D2449B" w:rsidRDefault="00394BC2"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91A9E75" w:rsidR="00837F4F" w:rsidRPr="00D2449B" w:rsidRDefault="00394BC2" w:rsidP="00D2449B">
            <w:pPr>
              <w:jc w:val="center"/>
              <w:rPr>
                <w:rFonts w:ascii="Calibri" w:hAnsi="Calibri"/>
                <w:b/>
                <w:szCs w:val="22"/>
              </w:rPr>
            </w:pPr>
            <w:r>
              <w:rPr>
                <w:rFonts w:ascii="Calibri" w:hAnsi="Calibri"/>
                <w:b/>
                <w:szCs w:val="22"/>
              </w:rPr>
              <w:t>26/11/24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3009735" w:rsidR="004A5EA9" w:rsidRPr="00250879" w:rsidRDefault="004A5EA9" w:rsidP="008542DE">
            <w:pPr>
              <w:rPr>
                <w:rFonts w:ascii="Calibri" w:hAnsi="Calibri"/>
                <w:color w:val="548DD4" w:themeColor="text2" w:themeTint="99"/>
                <w:szCs w:val="22"/>
              </w:rPr>
            </w:pPr>
            <w:r w:rsidRPr="0069545C">
              <w:rPr>
                <w:rFonts w:ascii="Calibri" w:hAnsi="Calibri"/>
                <w:szCs w:val="22"/>
              </w:rPr>
              <w:t>20</w:t>
            </w:r>
            <w:r w:rsidR="0069545C" w:rsidRPr="0069545C">
              <w:rPr>
                <w:rFonts w:ascii="Calibri" w:hAnsi="Calibri"/>
                <w:szCs w:val="22"/>
              </w:rPr>
              <w:t>2</w:t>
            </w:r>
            <w:r w:rsidR="001C3CC8">
              <w:rPr>
                <w:rFonts w:ascii="Calibri" w:hAnsi="Calibri"/>
                <w:szCs w:val="22"/>
              </w:rPr>
              <w:t>4</w:t>
            </w:r>
            <w:r w:rsidR="00C0704D" w:rsidRPr="0069545C">
              <w:rPr>
                <w:rFonts w:ascii="Calibri" w:hAnsi="Calibri"/>
                <w:szCs w:val="22"/>
              </w:rPr>
              <w:t>/</w:t>
            </w:r>
            <w:r w:rsidR="00B41C8D">
              <w:rPr>
                <w:rFonts w:ascii="Calibri" w:hAnsi="Calibri"/>
                <w:szCs w:val="22"/>
              </w:rPr>
              <w:t>0</w:t>
            </w:r>
            <w:r w:rsidR="007E2840">
              <w:rPr>
                <w:rFonts w:ascii="Calibri" w:hAnsi="Calibri"/>
                <w:szCs w:val="22"/>
              </w:rPr>
              <w:t>8</w:t>
            </w:r>
            <w:r w:rsidR="00C10D0A">
              <w:rPr>
                <w:rFonts w:ascii="Calibri" w:hAnsi="Calibri"/>
                <w:szCs w:val="22"/>
              </w:rPr>
              <w:t>31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8D30971" w:rsidR="00824DB6" w:rsidRPr="00C0704D" w:rsidRDefault="00C10D0A" w:rsidP="002C6277">
            <w:pPr>
              <w:rPr>
                <w:rFonts w:ascii="Calibri" w:hAnsi="Calibri"/>
                <w:szCs w:val="22"/>
              </w:rPr>
            </w:pPr>
            <w:r>
              <w:rPr>
                <w:rFonts w:ascii="Calibri" w:hAnsi="Calibri"/>
                <w:szCs w:val="22"/>
              </w:rPr>
              <w:t>04</w:t>
            </w:r>
            <w:r w:rsidR="00DC4629">
              <w:rPr>
                <w:rFonts w:ascii="Calibri" w:hAnsi="Calibri"/>
                <w:szCs w:val="22"/>
              </w:rPr>
              <w:t>.</w:t>
            </w:r>
            <w:r w:rsidR="00AF4ABF">
              <w:rPr>
                <w:rFonts w:ascii="Calibri" w:hAnsi="Calibri"/>
                <w:szCs w:val="22"/>
              </w:rPr>
              <w:t>1</w:t>
            </w:r>
            <w:r>
              <w:rPr>
                <w:rFonts w:ascii="Calibri" w:hAnsi="Calibri"/>
                <w:szCs w:val="22"/>
              </w:rPr>
              <w:t>1</w:t>
            </w:r>
            <w:r w:rsidR="00AF4ABF">
              <w:rPr>
                <w:rFonts w:ascii="Calibri" w:hAnsi="Calibri"/>
                <w:szCs w:val="22"/>
              </w:rPr>
              <w:t>.</w:t>
            </w:r>
            <w:r w:rsidR="00DC4629">
              <w:rPr>
                <w:rFonts w:ascii="Calibri" w:hAnsi="Calibri"/>
                <w:szCs w:val="22"/>
              </w:rPr>
              <w:t>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8CC203D" w:rsidR="00824DB6" w:rsidRPr="0069545C" w:rsidRDefault="00C10D0A" w:rsidP="002C6277">
            <w:pPr>
              <w:rPr>
                <w:rFonts w:ascii="Calibri" w:hAnsi="Calibri"/>
                <w:szCs w:val="22"/>
              </w:rPr>
            </w:pPr>
            <w:r>
              <w:rPr>
                <w:rFonts w:ascii="Calibri" w:hAnsi="Calibri"/>
                <w:szCs w:val="22"/>
              </w:rPr>
              <w:t>04</w:t>
            </w:r>
            <w:r w:rsidR="006B250D">
              <w:rPr>
                <w:rFonts w:ascii="Calibri" w:hAnsi="Calibri"/>
                <w:szCs w:val="22"/>
              </w:rPr>
              <w:t>.</w:t>
            </w:r>
            <w:r w:rsidR="00AF4ABF">
              <w:rPr>
                <w:rFonts w:ascii="Calibri" w:hAnsi="Calibri"/>
                <w:szCs w:val="22"/>
              </w:rPr>
              <w:t>1</w:t>
            </w:r>
            <w:r>
              <w:rPr>
                <w:rFonts w:ascii="Calibri" w:hAnsi="Calibri"/>
                <w:szCs w:val="22"/>
              </w:rPr>
              <w:t>1</w:t>
            </w:r>
            <w:r w:rsidR="006B250D">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E802C16" w:rsidR="004A5EA9" w:rsidRPr="00250879" w:rsidRDefault="0069545C" w:rsidP="00811771">
            <w:pPr>
              <w:rPr>
                <w:rFonts w:ascii="Calibri" w:hAnsi="Calibri"/>
                <w:color w:val="548DD4" w:themeColor="text2" w:themeTint="99"/>
                <w:szCs w:val="22"/>
              </w:rPr>
            </w:pPr>
            <w:r w:rsidRPr="0069545C">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FF1EC2B" w:rsidR="004A5EA9" w:rsidRPr="00D2449B" w:rsidRDefault="006B250D"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AF4ABF" w:rsidRPr="00AF4ABF"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7E2840" w:rsidRDefault="004A5EA9" w:rsidP="0069545C">
            <w:pPr>
              <w:jc w:val="both"/>
              <w:rPr>
                <w:rFonts w:ascii="Calibri" w:hAnsi="Calibri"/>
                <w:b/>
                <w:szCs w:val="22"/>
              </w:rPr>
            </w:pPr>
            <w:r w:rsidRPr="007E2840">
              <w:rPr>
                <w:rFonts w:ascii="Calibri" w:hAnsi="Calibri"/>
                <w:b/>
                <w:szCs w:val="22"/>
              </w:rPr>
              <w:t xml:space="preserve">Development </w:t>
            </w:r>
            <w:r w:rsidR="00A95D89" w:rsidRPr="007E2840">
              <w:rPr>
                <w:rFonts w:ascii="Calibri" w:hAnsi="Calibri"/>
                <w:b/>
                <w:szCs w:val="22"/>
              </w:rPr>
              <w:t>Description</w:t>
            </w:r>
            <w:r w:rsidRPr="007E2840">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6EE976D" w:rsidR="004A5EA9" w:rsidRPr="007E2840" w:rsidRDefault="00C10D0A" w:rsidP="0069545C">
            <w:pPr>
              <w:jc w:val="both"/>
              <w:rPr>
                <w:rFonts w:ascii="Calibri" w:hAnsi="Calibri"/>
                <w:szCs w:val="22"/>
              </w:rPr>
            </w:pPr>
            <w:r w:rsidRPr="00C10D0A">
              <w:rPr>
                <w:rFonts w:ascii="Calibri" w:hAnsi="Calibri"/>
                <w:szCs w:val="22"/>
              </w:rPr>
              <w:t>Proposed two-storey garage with one-bedroom annex on first floor</w:t>
            </w:r>
          </w:p>
        </w:tc>
      </w:tr>
      <w:tr w:rsidR="00AF4ABF" w:rsidRPr="00AF4ABF"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7E2840" w:rsidRDefault="002A01CF">
            <w:pPr>
              <w:rPr>
                <w:rFonts w:ascii="Calibri" w:hAnsi="Calibri"/>
                <w:b/>
                <w:szCs w:val="22"/>
              </w:rPr>
            </w:pPr>
            <w:r w:rsidRPr="007E2840">
              <w:rPr>
                <w:rFonts w:ascii="Calibri" w:hAnsi="Calibri"/>
                <w:b/>
                <w:szCs w:val="22"/>
              </w:rPr>
              <w:t>Site Address</w:t>
            </w:r>
            <w:r w:rsidR="00A95D89" w:rsidRPr="007E2840">
              <w:rPr>
                <w:rFonts w:ascii="Calibri" w:hAnsi="Calibri"/>
                <w:b/>
                <w:szCs w:val="22"/>
              </w:rPr>
              <w:t>/Location</w:t>
            </w:r>
            <w:r w:rsidRPr="007E2840">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FE43003" w:rsidR="002A01CF" w:rsidRPr="007E2840" w:rsidRDefault="00C10D0A" w:rsidP="00A42E82">
            <w:pPr>
              <w:rPr>
                <w:rFonts w:ascii="Calibri" w:hAnsi="Calibri"/>
                <w:szCs w:val="22"/>
              </w:rPr>
            </w:pPr>
            <w:r w:rsidRPr="00C10D0A">
              <w:rPr>
                <w:rFonts w:ascii="Calibri" w:hAnsi="Calibri"/>
                <w:szCs w:val="22"/>
              </w:rPr>
              <w:t>1 Ribblesdale Place Osbaldeston Lane Osbaldeston BB2 7LX</w:t>
            </w:r>
          </w:p>
        </w:tc>
      </w:tr>
      <w:tr w:rsidR="00AF4ABF" w:rsidRPr="00AF4ABF"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AF4ABF" w:rsidRDefault="007E0D23" w:rsidP="007E0D23">
            <w:pPr>
              <w:tabs>
                <w:tab w:val="left" w:pos="2667"/>
              </w:tabs>
              <w:rPr>
                <w:rFonts w:ascii="Calibri" w:hAnsi="Calibri"/>
                <w:b/>
                <w:color w:val="FF0000"/>
                <w:szCs w:val="22"/>
              </w:rPr>
            </w:pPr>
            <w:r w:rsidRPr="00AF4ABF">
              <w:rPr>
                <w:rFonts w:ascii="Calibri" w:hAnsi="Calibri"/>
                <w:b/>
                <w:color w:val="FF0000"/>
                <w:szCs w:val="22"/>
              </w:rPr>
              <w:tab/>
            </w:r>
          </w:p>
        </w:tc>
      </w:tr>
      <w:tr w:rsidR="00AF4ABF" w:rsidRPr="00AF4ABF"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7E2840" w:rsidRDefault="00C618DB">
            <w:pPr>
              <w:rPr>
                <w:rFonts w:ascii="Calibri" w:hAnsi="Calibri"/>
                <w:b/>
                <w:szCs w:val="22"/>
              </w:rPr>
            </w:pPr>
            <w:r w:rsidRPr="007E2840">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AF4ABF" w:rsidRDefault="00C618DB">
            <w:pPr>
              <w:rPr>
                <w:rFonts w:ascii="Calibri" w:hAnsi="Calibri"/>
                <w:b/>
                <w:color w:val="FF0000"/>
                <w:szCs w:val="22"/>
              </w:rPr>
            </w:pPr>
            <w:r w:rsidRPr="00EA6C75">
              <w:rPr>
                <w:rFonts w:ascii="Calibri" w:hAnsi="Calibri"/>
                <w:b/>
                <w:szCs w:val="22"/>
              </w:rPr>
              <w:t>Parish/Town Council</w:t>
            </w:r>
          </w:p>
        </w:tc>
      </w:tr>
      <w:tr w:rsidR="00AF4ABF" w:rsidRPr="00AF4ABF"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760D7B" w14:textId="41EFE495" w:rsidR="003E4F9F" w:rsidRDefault="00C10D0A" w:rsidP="003E4F9F">
            <w:pPr>
              <w:jc w:val="both"/>
              <w:rPr>
                <w:rFonts w:ascii="Calibri" w:hAnsi="Calibri"/>
                <w:bCs/>
                <w:szCs w:val="22"/>
              </w:rPr>
            </w:pPr>
            <w:r>
              <w:rPr>
                <w:rFonts w:ascii="Calibri" w:hAnsi="Calibri"/>
                <w:bCs/>
                <w:szCs w:val="22"/>
              </w:rPr>
              <w:t>Osbaldeston Parish Council have offered the following observations:</w:t>
            </w:r>
          </w:p>
          <w:p w14:paraId="4AE22119" w14:textId="77777777" w:rsidR="00C10D0A" w:rsidRDefault="00C10D0A" w:rsidP="003E4F9F">
            <w:pPr>
              <w:jc w:val="both"/>
              <w:rPr>
                <w:rFonts w:ascii="Calibri" w:hAnsi="Calibri"/>
                <w:bCs/>
                <w:i/>
                <w:iCs/>
                <w:szCs w:val="22"/>
              </w:rPr>
            </w:pPr>
          </w:p>
          <w:p w14:paraId="6DEFA8EF" w14:textId="77777777" w:rsidR="00C10D0A" w:rsidRDefault="00C10D0A" w:rsidP="00C10D0A">
            <w:pPr>
              <w:pStyle w:val="ListParagraph"/>
              <w:numPr>
                <w:ilvl w:val="0"/>
                <w:numId w:val="35"/>
              </w:numPr>
              <w:jc w:val="both"/>
              <w:rPr>
                <w:rFonts w:ascii="Calibri" w:hAnsi="Calibri"/>
                <w:bCs/>
                <w:i/>
                <w:iCs/>
                <w:szCs w:val="22"/>
              </w:rPr>
            </w:pPr>
            <w:r w:rsidRPr="00C10D0A">
              <w:rPr>
                <w:rFonts w:ascii="Calibri" w:hAnsi="Calibri"/>
                <w:bCs/>
                <w:i/>
                <w:iCs/>
                <w:szCs w:val="22"/>
              </w:rPr>
              <w:t xml:space="preserve">After consideration of the above application in relation to the previously approved plans (3/2020/0977) Osbaldeston Parish Council has the following comments: </w:t>
            </w:r>
            <w:r w:rsidRPr="00C10D0A">
              <w:sym w:font="Symbol" w:char="F0B7"/>
            </w:r>
            <w:r w:rsidRPr="00C10D0A">
              <w:rPr>
                <w:rFonts w:ascii="Calibri" w:hAnsi="Calibri"/>
                <w:bCs/>
                <w:i/>
                <w:iCs/>
                <w:szCs w:val="22"/>
              </w:rPr>
              <w:t xml:space="preserve"> The original planning approval states: “The garage(s) hereby approved shall be kept available for the parking of vehicles ancillary to the enjoyment of the household(s) and ancillary storage as stated on the approved plans and shall not be used for any use that would preclude the ability for their use for the parking of private motor vehicles or converted to habitable living accommodation, whether or not permitted by the provisions of the Town and Country Planning (General Permitted Development) Order 2015 or any order amending or revoking and reenacting that order.”</w:t>
            </w:r>
          </w:p>
          <w:p w14:paraId="66AE2B98" w14:textId="77777777" w:rsidR="00C10D0A" w:rsidRPr="00C10D0A" w:rsidRDefault="00C10D0A" w:rsidP="00C10D0A">
            <w:pPr>
              <w:ind w:left="360"/>
              <w:jc w:val="both"/>
              <w:rPr>
                <w:rFonts w:ascii="Calibri" w:hAnsi="Calibri"/>
                <w:bCs/>
                <w:i/>
                <w:iCs/>
                <w:szCs w:val="22"/>
              </w:rPr>
            </w:pPr>
          </w:p>
          <w:p w14:paraId="0659C171" w14:textId="77777777" w:rsidR="00C10D0A" w:rsidRDefault="00C10D0A" w:rsidP="00C10D0A">
            <w:pPr>
              <w:pStyle w:val="ListParagraph"/>
              <w:numPr>
                <w:ilvl w:val="0"/>
                <w:numId w:val="35"/>
              </w:numPr>
              <w:jc w:val="both"/>
              <w:rPr>
                <w:rFonts w:ascii="Calibri" w:hAnsi="Calibri"/>
                <w:bCs/>
                <w:i/>
                <w:iCs/>
                <w:szCs w:val="22"/>
              </w:rPr>
            </w:pPr>
            <w:r w:rsidRPr="00C10D0A">
              <w:rPr>
                <w:rFonts w:ascii="Calibri" w:hAnsi="Calibri"/>
                <w:bCs/>
                <w:i/>
                <w:iCs/>
                <w:szCs w:val="22"/>
              </w:rPr>
              <w:t>Given that the widest door on the revised plans is approx. 1.5m wide, there is clearly no intention to park vehicles inside the garage. In addition, the granting of residential status for the garage could bring an additional vehicle into the household. In order to preserve highway safety by ensuring all vehicles associated with the household can be parked within the curtilage we recommend that the groundfloor doors are widened to allow cars to enter and that the above (original) condition is applied to any new planning approval.</w:t>
            </w:r>
          </w:p>
          <w:p w14:paraId="1B5C1EE8" w14:textId="77777777" w:rsidR="00C10D0A" w:rsidRDefault="00C10D0A" w:rsidP="00C10D0A">
            <w:pPr>
              <w:pStyle w:val="ListParagraph"/>
              <w:jc w:val="both"/>
              <w:rPr>
                <w:rFonts w:ascii="Calibri" w:hAnsi="Calibri"/>
                <w:bCs/>
                <w:i/>
                <w:iCs/>
                <w:szCs w:val="22"/>
              </w:rPr>
            </w:pPr>
          </w:p>
          <w:p w14:paraId="69E71AC3" w14:textId="77777777" w:rsidR="00C10D0A" w:rsidRDefault="00C10D0A" w:rsidP="00C10D0A">
            <w:pPr>
              <w:pStyle w:val="ListParagraph"/>
              <w:numPr>
                <w:ilvl w:val="0"/>
                <w:numId w:val="35"/>
              </w:numPr>
              <w:jc w:val="both"/>
              <w:rPr>
                <w:rFonts w:ascii="Calibri" w:hAnsi="Calibri"/>
                <w:bCs/>
                <w:i/>
                <w:iCs/>
                <w:szCs w:val="22"/>
              </w:rPr>
            </w:pPr>
            <w:r w:rsidRPr="00C10D0A">
              <w:rPr>
                <w:rFonts w:ascii="Calibri" w:hAnsi="Calibri"/>
                <w:bCs/>
                <w:i/>
                <w:iCs/>
                <w:szCs w:val="22"/>
              </w:rPr>
              <w:t>We appreciate that the planned glazing to the north gable has been reduced significantly compared to what has been partially built. We recommend this is properly dimensioned on the plan and subsequently enforced by RVBC.</w:t>
            </w:r>
          </w:p>
          <w:p w14:paraId="3E1A1B2C" w14:textId="1129A98A" w:rsidR="003F4722" w:rsidRPr="003F4722" w:rsidRDefault="003F4722" w:rsidP="003F4722">
            <w:pPr>
              <w:jc w:val="both"/>
              <w:rPr>
                <w:rFonts w:ascii="Calibri" w:hAnsi="Calibri"/>
                <w:bCs/>
                <w:i/>
                <w:iCs/>
                <w:szCs w:val="22"/>
              </w:rPr>
            </w:pPr>
          </w:p>
        </w:tc>
      </w:tr>
      <w:tr w:rsidR="00AF4ABF" w:rsidRPr="00AF4ABF"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AF4ABF" w:rsidRDefault="00C618DB">
            <w:pPr>
              <w:rPr>
                <w:rFonts w:ascii="Calibri" w:hAnsi="Calibri"/>
                <w:bCs/>
                <w:color w:val="FF0000"/>
                <w:szCs w:val="22"/>
              </w:rPr>
            </w:pPr>
          </w:p>
        </w:tc>
      </w:tr>
      <w:tr w:rsidR="00AF4ABF" w:rsidRPr="00AF4ABF"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7E2840" w:rsidRDefault="00C618DB" w:rsidP="00C618DB">
            <w:pPr>
              <w:rPr>
                <w:rFonts w:ascii="Calibri" w:hAnsi="Calibri"/>
                <w:b/>
                <w:szCs w:val="22"/>
              </w:rPr>
            </w:pPr>
            <w:r w:rsidRPr="007E2840">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7E2840" w:rsidRDefault="00C618DB" w:rsidP="00C618DB">
            <w:pPr>
              <w:rPr>
                <w:rFonts w:ascii="Calibri" w:hAnsi="Calibri"/>
                <w:b/>
                <w:szCs w:val="22"/>
              </w:rPr>
            </w:pPr>
            <w:r w:rsidRPr="007E2840">
              <w:rPr>
                <w:rFonts w:ascii="Calibri" w:hAnsi="Calibri"/>
                <w:b/>
                <w:szCs w:val="22"/>
              </w:rPr>
              <w:t>Highways/Water Authority/Other Bodies</w:t>
            </w:r>
          </w:p>
        </w:tc>
      </w:tr>
      <w:tr w:rsidR="00AF4ABF" w:rsidRPr="00AF4ABF" w14:paraId="5C685B9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72A1B3" w14:textId="32B00ABB" w:rsidR="001C3CC8" w:rsidRPr="007E2840" w:rsidRDefault="00C10D0A">
            <w:pPr>
              <w:rPr>
                <w:rFonts w:ascii="Calibri" w:hAnsi="Calibri"/>
                <w:b/>
                <w:szCs w:val="22"/>
              </w:rPr>
            </w:pPr>
            <w:r>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B204A1" w14:textId="77777777" w:rsidR="001C3CC8" w:rsidRPr="007E2840" w:rsidRDefault="001C3CC8">
            <w:pPr>
              <w:rPr>
                <w:rFonts w:ascii="Calibri" w:hAnsi="Calibri"/>
                <w:b/>
                <w:szCs w:val="22"/>
              </w:rPr>
            </w:pPr>
          </w:p>
        </w:tc>
      </w:tr>
      <w:tr w:rsidR="00AF4ABF" w:rsidRPr="00AF4ABF"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FFF0DA" w14:textId="77777777" w:rsidR="00B41C8D" w:rsidRDefault="00C10D0A" w:rsidP="00B41C8D">
            <w:pPr>
              <w:jc w:val="both"/>
              <w:rPr>
                <w:rFonts w:ascii="Calibri" w:hAnsi="Calibri"/>
                <w:szCs w:val="22"/>
              </w:rPr>
            </w:pPr>
            <w:r>
              <w:rPr>
                <w:rFonts w:ascii="Calibri" w:hAnsi="Calibri"/>
                <w:szCs w:val="22"/>
              </w:rPr>
              <w:t>The Local Highways Authority have raised no objection to the proposal stating the following:</w:t>
            </w:r>
          </w:p>
          <w:p w14:paraId="6A7F02B3" w14:textId="77777777" w:rsidR="00C10D0A" w:rsidRDefault="00C10D0A" w:rsidP="00B41C8D">
            <w:pPr>
              <w:jc w:val="both"/>
              <w:rPr>
                <w:rFonts w:ascii="Calibri" w:hAnsi="Calibri"/>
                <w:szCs w:val="22"/>
              </w:rPr>
            </w:pPr>
          </w:p>
          <w:p w14:paraId="740CF35B" w14:textId="4FFCA7C7" w:rsidR="00C10D0A" w:rsidRDefault="00C10D0A" w:rsidP="00C10D0A">
            <w:pPr>
              <w:jc w:val="both"/>
              <w:rPr>
                <w:rFonts w:ascii="Calibri" w:hAnsi="Calibri"/>
                <w:i/>
                <w:iCs/>
                <w:szCs w:val="22"/>
              </w:rPr>
            </w:pPr>
            <w:r w:rsidRPr="00C10D0A">
              <w:rPr>
                <w:rFonts w:ascii="Calibri" w:hAnsi="Calibri"/>
                <w:i/>
                <w:iCs/>
                <w:szCs w:val="22"/>
              </w:rPr>
              <w:t xml:space="preserve">The Local Highway Authority have viewed the plans and highway related documents and have the following comments to make: </w:t>
            </w:r>
          </w:p>
          <w:p w14:paraId="3DBD9094" w14:textId="77777777" w:rsidR="00C10D0A" w:rsidRPr="00C10D0A" w:rsidRDefault="00C10D0A" w:rsidP="00C10D0A">
            <w:pPr>
              <w:jc w:val="both"/>
              <w:rPr>
                <w:rFonts w:ascii="Calibri" w:hAnsi="Calibri"/>
                <w:i/>
                <w:iCs/>
                <w:szCs w:val="22"/>
              </w:rPr>
            </w:pPr>
          </w:p>
          <w:p w14:paraId="2FE0E996" w14:textId="77777777" w:rsidR="00C10D0A" w:rsidRDefault="00C10D0A" w:rsidP="00C10D0A">
            <w:pPr>
              <w:jc w:val="both"/>
              <w:rPr>
                <w:rFonts w:ascii="Calibri" w:hAnsi="Calibri"/>
                <w:i/>
                <w:iCs/>
                <w:szCs w:val="22"/>
              </w:rPr>
            </w:pPr>
            <w:r w:rsidRPr="00C10D0A">
              <w:rPr>
                <w:rFonts w:ascii="Calibri" w:hAnsi="Calibri"/>
                <w:i/>
                <w:iCs/>
                <w:szCs w:val="22"/>
              </w:rPr>
              <w:t xml:space="preserve">Lancashire County Council acting as the Local Highway Authority does not raise an objection regarding the proposed development and are of the opinion that the proposed development will not have a significant impact on highway safety, capacity or amenity in the immediate vicinity of the site subject to the following conditions being stated on any approval. </w:t>
            </w:r>
          </w:p>
          <w:p w14:paraId="06B48AFE" w14:textId="77777777" w:rsidR="00C10D0A" w:rsidRPr="00C10D0A" w:rsidRDefault="00C10D0A" w:rsidP="00C10D0A">
            <w:pPr>
              <w:jc w:val="both"/>
              <w:rPr>
                <w:rFonts w:ascii="Calibri" w:hAnsi="Calibri"/>
                <w:i/>
                <w:iCs/>
                <w:szCs w:val="22"/>
              </w:rPr>
            </w:pPr>
          </w:p>
          <w:p w14:paraId="626DFF53" w14:textId="77777777" w:rsidR="00C10D0A" w:rsidRPr="00C10D0A" w:rsidRDefault="00C10D0A" w:rsidP="00C10D0A">
            <w:pPr>
              <w:jc w:val="both"/>
              <w:rPr>
                <w:rFonts w:ascii="Calibri" w:hAnsi="Calibri"/>
                <w:i/>
                <w:iCs/>
                <w:szCs w:val="22"/>
              </w:rPr>
            </w:pPr>
            <w:r w:rsidRPr="00C10D0A">
              <w:rPr>
                <w:rFonts w:ascii="Calibri" w:hAnsi="Calibri"/>
                <w:i/>
                <w:iCs/>
                <w:szCs w:val="22"/>
              </w:rPr>
              <w:t xml:space="preserve">The 1-bed annex proposed on the first floor must remain as part of the existing dwelling and will not be used for commercial purposes without prior consent. </w:t>
            </w:r>
          </w:p>
          <w:p w14:paraId="30E8F935" w14:textId="77777777" w:rsidR="00C10D0A" w:rsidRDefault="00C10D0A" w:rsidP="00C10D0A">
            <w:pPr>
              <w:jc w:val="both"/>
              <w:rPr>
                <w:rFonts w:ascii="Calibri" w:hAnsi="Calibri"/>
                <w:i/>
                <w:iCs/>
                <w:szCs w:val="22"/>
              </w:rPr>
            </w:pPr>
            <w:r w:rsidRPr="00C10D0A">
              <w:rPr>
                <w:rFonts w:ascii="Calibri" w:hAnsi="Calibri"/>
                <w:i/>
                <w:iCs/>
                <w:szCs w:val="22"/>
              </w:rPr>
              <w:lastRenderedPageBreak/>
              <w:t xml:space="preserve">There is no objection in principle to the proposal subject to the comments being noted and the conditions being applied to any formal planning approval. </w:t>
            </w:r>
          </w:p>
          <w:p w14:paraId="0B035358" w14:textId="77777777" w:rsidR="00C10D0A" w:rsidRPr="00C10D0A" w:rsidRDefault="00C10D0A" w:rsidP="00C10D0A">
            <w:pPr>
              <w:jc w:val="both"/>
              <w:rPr>
                <w:rFonts w:ascii="Calibri" w:hAnsi="Calibri"/>
                <w:i/>
                <w:iCs/>
                <w:szCs w:val="22"/>
              </w:rPr>
            </w:pPr>
          </w:p>
          <w:p w14:paraId="3078609F" w14:textId="77777777" w:rsidR="00C10D0A" w:rsidRDefault="00C10D0A" w:rsidP="00C10D0A">
            <w:pPr>
              <w:jc w:val="both"/>
              <w:rPr>
                <w:rFonts w:ascii="Calibri" w:hAnsi="Calibri"/>
                <w:b/>
                <w:bCs/>
                <w:i/>
                <w:iCs/>
                <w:szCs w:val="22"/>
              </w:rPr>
            </w:pPr>
            <w:r w:rsidRPr="00C10D0A">
              <w:rPr>
                <w:rFonts w:ascii="Calibri" w:hAnsi="Calibri"/>
                <w:b/>
                <w:bCs/>
                <w:i/>
                <w:iCs/>
                <w:szCs w:val="22"/>
              </w:rPr>
              <w:t xml:space="preserve">Conditions </w:t>
            </w:r>
          </w:p>
          <w:p w14:paraId="170ADD50" w14:textId="77777777" w:rsidR="00C10D0A" w:rsidRDefault="00C10D0A" w:rsidP="00C10D0A">
            <w:pPr>
              <w:pStyle w:val="ListParagraph"/>
              <w:numPr>
                <w:ilvl w:val="0"/>
                <w:numId w:val="36"/>
              </w:numPr>
              <w:jc w:val="both"/>
              <w:rPr>
                <w:rFonts w:ascii="Calibri" w:hAnsi="Calibri"/>
                <w:i/>
                <w:iCs/>
                <w:szCs w:val="22"/>
              </w:rPr>
            </w:pPr>
            <w:r w:rsidRPr="00C10D0A">
              <w:rPr>
                <w:rFonts w:ascii="Calibri" w:hAnsi="Calibri"/>
                <w:i/>
                <w:iCs/>
                <w:szCs w:val="22"/>
              </w:rPr>
              <w:t xml:space="preserve">The annexe (detached building) hereby approved shall only be used ancillary to the enjoyment of the existing dwelling (household) and shall not be used by way of sale or sub-letting to form separate residential accommodation. </w:t>
            </w:r>
          </w:p>
          <w:p w14:paraId="1FE0D2AA" w14:textId="77777777" w:rsidR="00C10D0A" w:rsidRDefault="00C10D0A" w:rsidP="00C10D0A">
            <w:pPr>
              <w:pStyle w:val="ListParagraph"/>
              <w:jc w:val="both"/>
              <w:rPr>
                <w:rFonts w:ascii="Calibri" w:hAnsi="Calibri"/>
                <w:i/>
                <w:iCs/>
                <w:szCs w:val="22"/>
              </w:rPr>
            </w:pPr>
          </w:p>
          <w:p w14:paraId="56CEA0D3" w14:textId="77777777" w:rsidR="00C10D0A" w:rsidRDefault="00C10D0A" w:rsidP="00C10D0A">
            <w:pPr>
              <w:pStyle w:val="ListParagraph"/>
              <w:jc w:val="both"/>
              <w:rPr>
                <w:rFonts w:ascii="Calibri" w:hAnsi="Calibri"/>
                <w:i/>
                <w:iCs/>
                <w:szCs w:val="22"/>
              </w:rPr>
            </w:pPr>
            <w:r w:rsidRPr="00C10D0A">
              <w:rPr>
                <w:rFonts w:ascii="Calibri" w:hAnsi="Calibri"/>
                <w:i/>
                <w:iCs/>
                <w:szCs w:val="22"/>
              </w:rPr>
              <w:t>REASON: To avoid the creation of separate dwellings which may be substandard in terms of parking provision and/or vehicular manoeuvring area</w:t>
            </w:r>
          </w:p>
          <w:p w14:paraId="6149AC5C" w14:textId="23ABF60C" w:rsidR="00C10D0A" w:rsidRPr="00C10D0A" w:rsidRDefault="00C10D0A" w:rsidP="00C10D0A">
            <w:pPr>
              <w:pStyle w:val="ListParagraph"/>
              <w:jc w:val="both"/>
              <w:rPr>
                <w:rFonts w:ascii="Calibri" w:hAnsi="Calibri"/>
                <w:i/>
                <w:iCs/>
                <w:szCs w:val="22"/>
              </w:rPr>
            </w:pPr>
          </w:p>
        </w:tc>
      </w:tr>
      <w:tr w:rsidR="00AF4ABF" w:rsidRPr="00AF4ABF"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7E2840" w:rsidRDefault="00C0704D" w:rsidP="00C618DB">
            <w:pPr>
              <w:rPr>
                <w:rFonts w:ascii="Calibri" w:hAnsi="Calibri"/>
                <w:b/>
                <w:szCs w:val="22"/>
              </w:rPr>
            </w:pPr>
            <w:r w:rsidRPr="007E2840">
              <w:rPr>
                <w:rFonts w:ascii="Calibri" w:hAnsi="Calibri"/>
                <w:b/>
                <w:szCs w:val="22"/>
              </w:rPr>
              <w:lastRenderedPageBreak/>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7E2840" w:rsidRDefault="00C0704D" w:rsidP="00C618DB">
            <w:pPr>
              <w:rPr>
                <w:rFonts w:ascii="Calibri" w:hAnsi="Calibri"/>
                <w:b/>
                <w:szCs w:val="22"/>
              </w:rPr>
            </w:pPr>
            <w:r w:rsidRPr="007E2840">
              <w:rPr>
                <w:rFonts w:ascii="Calibri" w:hAnsi="Calibri"/>
                <w:b/>
                <w:szCs w:val="22"/>
              </w:rPr>
              <w:t>Additional Representations.</w:t>
            </w:r>
          </w:p>
        </w:tc>
      </w:tr>
      <w:tr w:rsidR="00AF4ABF" w:rsidRPr="00AF4ABF"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9291DF" w14:textId="50601B0C" w:rsidR="00CA7986" w:rsidRPr="00361F18" w:rsidRDefault="00130BA7" w:rsidP="00692B60">
            <w:pPr>
              <w:rPr>
                <w:rFonts w:ascii="Calibri" w:hAnsi="Calibri"/>
                <w:bCs/>
                <w:szCs w:val="22"/>
              </w:rPr>
            </w:pPr>
            <w:r w:rsidRPr="00361F18">
              <w:rPr>
                <w:rFonts w:ascii="Calibri" w:hAnsi="Calibri"/>
                <w:bCs/>
                <w:szCs w:val="22"/>
              </w:rPr>
              <w:t xml:space="preserve">Two letters of representation </w:t>
            </w:r>
            <w:r w:rsidR="00361F18" w:rsidRPr="00361F18">
              <w:rPr>
                <w:rFonts w:ascii="Calibri" w:hAnsi="Calibri"/>
                <w:bCs/>
                <w:szCs w:val="22"/>
              </w:rPr>
              <w:t>objecting on the following grounds</w:t>
            </w:r>
          </w:p>
          <w:p w14:paraId="4D3DD4FD" w14:textId="77777777" w:rsidR="00130BA7" w:rsidRPr="00361F18" w:rsidRDefault="00130BA7" w:rsidP="00692B60">
            <w:pPr>
              <w:rPr>
                <w:rFonts w:ascii="Calibri" w:hAnsi="Calibri"/>
                <w:bCs/>
                <w:szCs w:val="22"/>
              </w:rPr>
            </w:pPr>
          </w:p>
          <w:p w14:paraId="73EAF090" w14:textId="13020BC4" w:rsidR="008D1922" w:rsidRPr="00361F18" w:rsidRDefault="00361F18" w:rsidP="008D1922">
            <w:pPr>
              <w:pStyle w:val="ListParagraph"/>
              <w:numPr>
                <w:ilvl w:val="0"/>
                <w:numId w:val="34"/>
              </w:numPr>
              <w:rPr>
                <w:rFonts w:ascii="Calibri" w:hAnsi="Calibri"/>
                <w:szCs w:val="22"/>
              </w:rPr>
            </w:pPr>
            <w:r w:rsidRPr="00361F18">
              <w:rPr>
                <w:rFonts w:ascii="Calibri" w:hAnsi="Calibri"/>
                <w:szCs w:val="22"/>
              </w:rPr>
              <w:t>No access to the garage area</w:t>
            </w:r>
          </w:p>
          <w:p w14:paraId="5E78937D" w14:textId="05479FF6" w:rsidR="00361F18" w:rsidRPr="00361F18" w:rsidRDefault="00361F18" w:rsidP="008D1922">
            <w:pPr>
              <w:pStyle w:val="ListParagraph"/>
              <w:numPr>
                <w:ilvl w:val="0"/>
                <w:numId w:val="34"/>
              </w:numPr>
              <w:rPr>
                <w:rFonts w:ascii="Calibri" w:hAnsi="Calibri"/>
                <w:szCs w:val="22"/>
              </w:rPr>
            </w:pPr>
            <w:r w:rsidRPr="00361F18">
              <w:rPr>
                <w:rFonts w:ascii="Calibri" w:hAnsi="Calibri"/>
                <w:szCs w:val="22"/>
              </w:rPr>
              <w:t>Incorrect information submitted as part of application</w:t>
            </w:r>
          </w:p>
          <w:p w14:paraId="0CC34A2D" w14:textId="10176EA3" w:rsidR="00361F18" w:rsidRPr="00361F18" w:rsidRDefault="00361F18" w:rsidP="008D1922">
            <w:pPr>
              <w:pStyle w:val="ListParagraph"/>
              <w:numPr>
                <w:ilvl w:val="0"/>
                <w:numId w:val="34"/>
              </w:numPr>
              <w:rPr>
                <w:rFonts w:ascii="Calibri" w:hAnsi="Calibri"/>
                <w:szCs w:val="22"/>
              </w:rPr>
            </w:pPr>
            <w:r w:rsidRPr="00361F18">
              <w:rPr>
                <w:rFonts w:ascii="Calibri" w:hAnsi="Calibri"/>
                <w:szCs w:val="22"/>
              </w:rPr>
              <w:t>Proposal will conflict with an existing septic waste tank</w:t>
            </w:r>
          </w:p>
          <w:p w14:paraId="321194D6" w14:textId="7B4DA144" w:rsidR="00361F18" w:rsidRPr="00361F18" w:rsidRDefault="00361F18" w:rsidP="008D1922">
            <w:pPr>
              <w:pStyle w:val="ListParagraph"/>
              <w:numPr>
                <w:ilvl w:val="0"/>
                <w:numId w:val="34"/>
              </w:numPr>
              <w:rPr>
                <w:rFonts w:ascii="Calibri" w:hAnsi="Calibri"/>
                <w:szCs w:val="22"/>
              </w:rPr>
            </w:pPr>
            <w:r w:rsidRPr="00361F18">
              <w:rPr>
                <w:rFonts w:ascii="Calibri" w:hAnsi="Calibri"/>
                <w:szCs w:val="22"/>
              </w:rPr>
              <w:t>Matters relating to an access dispute</w:t>
            </w:r>
          </w:p>
          <w:p w14:paraId="581BB273" w14:textId="3793E422" w:rsidR="00361F18" w:rsidRPr="008D1922" w:rsidRDefault="00361F18" w:rsidP="00361F18">
            <w:pPr>
              <w:pStyle w:val="ListParagraph"/>
              <w:rPr>
                <w:rFonts w:ascii="Calibri" w:hAnsi="Calibri"/>
                <w:color w:val="FF0000"/>
                <w:szCs w:val="22"/>
              </w:rPr>
            </w:pPr>
          </w:p>
        </w:tc>
      </w:tr>
      <w:tr w:rsidR="00AF4ABF" w:rsidRPr="00AF4ABF"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AF4ABF" w:rsidRDefault="00C0704D">
            <w:pPr>
              <w:rPr>
                <w:rFonts w:ascii="Calibri" w:hAnsi="Calibri"/>
                <w:color w:val="FF0000"/>
                <w:szCs w:val="22"/>
              </w:rPr>
            </w:pPr>
          </w:p>
        </w:tc>
      </w:tr>
      <w:tr w:rsidR="00AF4ABF" w:rsidRPr="00AF4ABF"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7E2840" w:rsidRDefault="00C0704D">
            <w:pPr>
              <w:rPr>
                <w:rFonts w:ascii="Calibri" w:hAnsi="Calibri"/>
                <w:b/>
                <w:szCs w:val="22"/>
              </w:rPr>
            </w:pPr>
            <w:r w:rsidRPr="007E2840">
              <w:rPr>
                <w:rFonts w:ascii="Calibri" w:hAnsi="Calibri"/>
                <w:b/>
                <w:szCs w:val="22"/>
              </w:rPr>
              <w:t>RELEVANT POLICIES AND SITE PLANNING HISTORY:</w:t>
            </w:r>
          </w:p>
        </w:tc>
      </w:tr>
      <w:tr w:rsidR="00AF4ABF" w:rsidRPr="00AF4ABF"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7E2840" w:rsidRDefault="00C0704D" w:rsidP="00A63D55">
            <w:pPr>
              <w:pStyle w:val="PLANNING"/>
              <w:rPr>
                <w:rFonts w:ascii="Calibri" w:hAnsi="Calibri"/>
                <w:b/>
                <w:bCs/>
                <w:szCs w:val="22"/>
              </w:rPr>
            </w:pPr>
            <w:r w:rsidRPr="007E2840">
              <w:rPr>
                <w:rFonts w:ascii="Calibri" w:hAnsi="Calibri"/>
                <w:b/>
                <w:bCs/>
                <w:szCs w:val="22"/>
              </w:rPr>
              <w:t>Ribble Valley Core Strategy:</w:t>
            </w:r>
          </w:p>
          <w:p w14:paraId="1DF6E328" w14:textId="77777777" w:rsidR="00C0704D" w:rsidRPr="007E2840" w:rsidRDefault="00C0704D" w:rsidP="00C0704D">
            <w:pPr>
              <w:rPr>
                <w:rFonts w:ascii="Calibri" w:hAnsi="Calibri"/>
                <w:b/>
                <w:szCs w:val="22"/>
              </w:rPr>
            </w:pPr>
          </w:p>
          <w:p w14:paraId="2363CBED" w14:textId="1A2358BF" w:rsidR="005F2049" w:rsidRPr="005F2049" w:rsidRDefault="005F2049" w:rsidP="005F2049">
            <w:pPr>
              <w:pStyle w:val="PLANNING"/>
              <w:rPr>
                <w:rFonts w:ascii="Calibri" w:hAnsi="Calibri"/>
                <w:szCs w:val="22"/>
              </w:rPr>
            </w:pPr>
            <w:r w:rsidRPr="005F2049">
              <w:rPr>
                <w:rFonts w:ascii="Calibri" w:hAnsi="Calibri"/>
                <w:szCs w:val="22"/>
              </w:rPr>
              <w:t xml:space="preserve">Key Statement DS1: Development Strategy </w:t>
            </w:r>
          </w:p>
          <w:p w14:paraId="46930543" w14:textId="34AE3490" w:rsidR="005F2049" w:rsidRPr="005F2049" w:rsidRDefault="005F2049" w:rsidP="005F2049">
            <w:pPr>
              <w:pStyle w:val="PLANNING"/>
              <w:rPr>
                <w:rFonts w:ascii="Calibri" w:hAnsi="Calibri"/>
                <w:szCs w:val="22"/>
              </w:rPr>
            </w:pPr>
            <w:r w:rsidRPr="005F2049">
              <w:rPr>
                <w:rFonts w:ascii="Calibri" w:hAnsi="Calibri"/>
                <w:szCs w:val="22"/>
              </w:rPr>
              <w:t xml:space="preserve">Key Statement DS2: Sustainable Development </w:t>
            </w:r>
          </w:p>
          <w:p w14:paraId="65843EDF" w14:textId="77777777" w:rsidR="005F2049" w:rsidRPr="005F2049" w:rsidRDefault="005F2049" w:rsidP="005F2049">
            <w:pPr>
              <w:pStyle w:val="PLANNING"/>
              <w:rPr>
                <w:rFonts w:ascii="Calibri" w:hAnsi="Calibri"/>
                <w:szCs w:val="22"/>
              </w:rPr>
            </w:pPr>
          </w:p>
          <w:p w14:paraId="113DB4BC" w14:textId="77777777" w:rsidR="005F2049" w:rsidRPr="005F2049" w:rsidRDefault="005F2049" w:rsidP="005F2049">
            <w:pPr>
              <w:pStyle w:val="PLANNING"/>
              <w:rPr>
                <w:rFonts w:ascii="Calibri" w:hAnsi="Calibri"/>
                <w:szCs w:val="22"/>
              </w:rPr>
            </w:pPr>
            <w:r w:rsidRPr="005F2049">
              <w:rPr>
                <w:rFonts w:ascii="Calibri" w:hAnsi="Calibri"/>
                <w:szCs w:val="22"/>
              </w:rPr>
              <w:t xml:space="preserve">Policy DMG1: General Considerations </w:t>
            </w:r>
          </w:p>
          <w:p w14:paraId="074B382A" w14:textId="77777777" w:rsidR="005F2049" w:rsidRPr="005F2049" w:rsidRDefault="005F2049" w:rsidP="005F2049">
            <w:pPr>
              <w:pStyle w:val="PLANNING"/>
              <w:rPr>
                <w:rFonts w:ascii="Calibri" w:hAnsi="Calibri"/>
                <w:szCs w:val="22"/>
              </w:rPr>
            </w:pPr>
            <w:r w:rsidRPr="005F2049">
              <w:rPr>
                <w:rFonts w:ascii="Calibri" w:hAnsi="Calibri"/>
                <w:szCs w:val="22"/>
              </w:rPr>
              <w:t xml:space="preserve">Policy DMG2: Strategic Considerations </w:t>
            </w:r>
          </w:p>
          <w:p w14:paraId="6BB648A5" w14:textId="77777777" w:rsidR="005F2049" w:rsidRPr="005F2049" w:rsidRDefault="005F2049" w:rsidP="005F2049">
            <w:pPr>
              <w:pStyle w:val="PLANNING"/>
              <w:rPr>
                <w:rFonts w:ascii="Calibri" w:hAnsi="Calibri"/>
                <w:szCs w:val="22"/>
              </w:rPr>
            </w:pPr>
            <w:r w:rsidRPr="005F2049">
              <w:rPr>
                <w:rFonts w:ascii="Calibri" w:hAnsi="Calibri"/>
                <w:szCs w:val="22"/>
              </w:rPr>
              <w:t xml:space="preserve">Policy DMG3: Transport and Mobility </w:t>
            </w:r>
          </w:p>
          <w:p w14:paraId="1360EE56" w14:textId="4B0DD448" w:rsidR="008542DE" w:rsidRPr="005F2049" w:rsidRDefault="005F2049" w:rsidP="005F2049">
            <w:pPr>
              <w:pStyle w:val="PLANNING"/>
              <w:rPr>
                <w:rFonts w:ascii="Calibri" w:hAnsi="Calibri"/>
                <w:szCs w:val="22"/>
              </w:rPr>
            </w:pPr>
            <w:r w:rsidRPr="005F2049">
              <w:rPr>
                <w:rFonts w:ascii="Calibri" w:hAnsi="Calibri"/>
                <w:szCs w:val="22"/>
              </w:rPr>
              <w:t xml:space="preserve">Policy DMH5: Residential and Curtilage Extensions </w:t>
            </w:r>
          </w:p>
          <w:p w14:paraId="7D6ACBCB" w14:textId="77777777" w:rsidR="005F2049" w:rsidRPr="005F2049" w:rsidRDefault="005F2049" w:rsidP="005F2049">
            <w:pPr>
              <w:pStyle w:val="PLANNING"/>
              <w:rPr>
                <w:rFonts w:ascii="Calibri" w:hAnsi="Calibri"/>
                <w:szCs w:val="22"/>
              </w:rPr>
            </w:pPr>
          </w:p>
          <w:p w14:paraId="1C00F88E" w14:textId="77777777" w:rsidR="008542DE" w:rsidRPr="005F2049" w:rsidRDefault="008542DE" w:rsidP="008542DE">
            <w:pPr>
              <w:rPr>
                <w:rFonts w:ascii="Calibri" w:hAnsi="Calibri"/>
                <w:szCs w:val="22"/>
              </w:rPr>
            </w:pPr>
            <w:r w:rsidRPr="005F2049">
              <w:rPr>
                <w:rFonts w:ascii="Calibri" w:hAnsi="Calibri"/>
                <w:szCs w:val="22"/>
              </w:rPr>
              <w:t>National Planning Policy Framework (NPPF)</w:t>
            </w:r>
          </w:p>
          <w:p w14:paraId="6C4C318E" w14:textId="77777777" w:rsidR="008542DE" w:rsidRPr="007E2840" w:rsidRDefault="008542DE" w:rsidP="00C0704D">
            <w:pPr>
              <w:rPr>
                <w:rFonts w:ascii="Calibri" w:hAnsi="Calibri"/>
                <w:b/>
                <w:szCs w:val="22"/>
              </w:rPr>
            </w:pPr>
          </w:p>
        </w:tc>
      </w:tr>
      <w:tr w:rsidR="00AF4ABF" w:rsidRPr="00AF4ABF"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7E2840" w:rsidRDefault="00C0704D" w:rsidP="006A71AD">
            <w:pPr>
              <w:pStyle w:val="PLANNING"/>
              <w:rPr>
                <w:rFonts w:ascii="Calibri" w:hAnsi="Calibri"/>
                <w:b/>
                <w:bCs/>
                <w:szCs w:val="22"/>
              </w:rPr>
            </w:pPr>
            <w:r w:rsidRPr="007E2840">
              <w:rPr>
                <w:rFonts w:ascii="Calibri" w:hAnsi="Calibri"/>
                <w:b/>
                <w:bCs/>
                <w:szCs w:val="22"/>
              </w:rPr>
              <w:t>Relevant Planning History:</w:t>
            </w:r>
          </w:p>
          <w:p w14:paraId="1D356246" w14:textId="77777777" w:rsidR="00C0704D" w:rsidRPr="007E2840" w:rsidRDefault="00C0704D" w:rsidP="00C0704D">
            <w:pPr>
              <w:pStyle w:val="PLANNING"/>
              <w:rPr>
                <w:rFonts w:ascii="Calibri" w:hAnsi="Calibri"/>
                <w:b/>
                <w:bCs/>
                <w:szCs w:val="22"/>
              </w:rPr>
            </w:pPr>
          </w:p>
          <w:p w14:paraId="263769E8" w14:textId="77777777" w:rsidR="00C10D0A" w:rsidRDefault="00C10D0A" w:rsidP="000E0485">
            <w:pPr>
              <w:pStyle w:val="PLANNING"/>
              <w:rPr>
                <w:rFonts w:ascii="Calibri" w:hAnsi="Calibri"/>
                <w:b/>
                <w:bCs/>
                <w:szCs w:val="22"/>
              </w:rPr>
            </w:pPr>
            <w:r>
              <w:rPr>
                <w:rFonts w:ascii="Calibri" w:hAnsi="Calibri"/>
                <w:b/>
                <w:bCs/>
                <w:szCs w:val="22"/>
              </w:rPr>
              <w:t>3/2020/0977:</w:t>
            </w:r>
          </w:p>
          <w:p w14:paraId="0F5D253B" w14:textId="0D0C62A8" w:rsidR="0046548C" w:rsidRPr="00C10D0A" w:rsidRDefault="00C10D0A" w:rsidP="000E0485">
            <w:pPr>
              <w:pStyle w:val="PLANNING"/>
              <w:rPr>
                <w:rFonts w:ascii="Calibri" w:hAnsi="Calibri"/>
                <w:szCs w:val="22"/>
              </w:rPr>
            </w:pPr>
            <w:r w:rsidRPr="00C10D0A">
              <w:rPr>
                <w:rFonts w:ascii="Calibri" w:hAnsi="Calibri"/>
                <w:szCs w:val="22"/>
              </w:rPr>
              <w:t>Demolish existing detached garage, erect new detached garage with one bedroom annex over.  (approved)</w:t>
            </w:r>
          </w:p>
          <w:p w14:paraId="17147D50" w14:textId="7B0CBF6D" w:rsidR="00A17F59" w:rsidRPr="00AF4ABF" w:rsidRDefault="00A17F59" w:rsidP="000E0485">
            <w:pPr>
              <w:pStyle w:val="PLANNING"/>
              <w:rPr>
                <w:rFonts w:ascii="Calibri" w:hAnsi="Calibri"/>
                <w:color w:val="FF0000"/>
                <w:szCs w:val="22"/>
              </w:rPr>
            </w:pPr>
          </w:p>
        </w:tc>
      </w:tr>
      <w:tr w:rsidR="00AF4ABF" w:rsidRPr="00AF4ABF"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AF4ABF" w:rsidRDefault="00C0704D" w:rsidP="006A71AD">
            <w:pPr>
              <w:pStyle w:val="PLANNING"/>
              <w:rPr>
                <w:rFonts w:ascii="Calibri" w:hAnsi="Calibri"/>
                <w:b/>
                <w:bCs/>
                <w:color w:val="FF0000"/>
                <w:szCs w:val="22"/>
              </w:rPr>
            </w:pPr>
          </w:p>
        </w:tc>
      </w:tr>
      <w:tr w:rsidR="00AF4ABF" w:rsidRPr="00AF4ABF"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AF4ABF" w:rsidRDefault="00C0704D" w:rsidP="006C2BFA">
            <w:pPr>
              <w:rPr>
                <w:rFonts w:ascii="Calibri" w:hAnsi="Calibri"/>
                <w:b/>
                <w:color w:val="FF0000"/>
                <w:szCs w:val="22"/>
              </w:rPr>
            </w:pPr>
            <w:r w:rsidRPr="00252483">
              <w:rPr>
                <w:rFonts w:ascii="Calibri" w:hAnsi="Calibri"/>
                <w:b/>
                <w:bCs/>
                <w:szCs w:val="22"/>
              </w:rPr>
              <w:t>ASSESSMENT OF PROPOSED DEVELOPMENT:</w:t>
            </w:r>
          </w:p>
        </w:tc>
      </w:tr>
      <w:tr w:rsidR="00AF4ABF" w:rsidRPr="00AF4ABF"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252483" w:rsidRDefault="00C0704D" w:rsidP="00440CB6">
            <w:pPr>
              <w:pStyle w:val="Header"/>
              <w:tabs>
                <w:tab w:val="clear" w:pos="4153"/>
                <w:tab w:val="clear" w:pos="8306"/>
              </w:tabs>
              <w:contextualSpacing/>
              <w:jc w:val="both"/>
              <w:rPr>
                <w:rFonts w:ascii="Calibri" w:hAnsi="Calibri"/>
                <w:b/>
                <w:szCs w:val="22"/>
              </w:rPr>
            </w:pPr>
            <w:r w:rsidRPr="00252483">
              <w:rPr>
                <w:rFonts w:ascii="Calibri" w:hAnsi="Calibri"/>
                <w:b/>
                <w:szCs w:val="22"/>
              </w:rPr>
              <w:t>Site Description and Surrounding Area:</w:t>
            </w:r>
          </w:p>
          <w:p w14:paraId="2A719392" w14:textId="77777777" w:rsidR="00C0704D" w:rsidRPr="00AF4ABF" w:rsidRDefault="00C0704D" w:rsidP="00811771">
            <w:pPr>
              <w:pStyle w:val="Header"/>
              <w:tabs>
                <w:tab w:val="clear" w:pos="4153"/>
                <w:tab w:val="clear" w:pos="8306"/>
              </w:tabs>
              <w:contextualSpacing/>
              <w:jc w:val="both"/>
              <w:rPr>
                <w:rFonts w:ascii="Calibri" w:hAnsi="Calibri"/>
                <w:bCs/>
                <w:color w:val="FF0000"/>
                <w:szCs w:val="22"/>
              </w:rPr>
            </w:pPr>
          </w:p>
          <w:p w14:paraId="643B8ABF" w14:textId="4FAD8A75" w:rsidR="007D48AF" w:rsidRPr="005F2049" w:rsidRDefault="006617C9" w:rsidP="00B93EB5">
            <w:pPr>
              <w:pStyle w:val="Header"/>
              <w:tabs>
                <w:tab w:val="clear" w:pos="4153"/>
                <w:tab w:val="clear" w:pos="8306"/>
              </w:tabs>
              <w:contextualSpacing/>
              <w:jc w:val="both"/>
              <w:rPr>
                <w:rFonts w:ascii="Calibri" w:hAnsi="Calibri"/>
                <w:bCs/>
                <w:szCs w:val="22"/>
              </w:rPr>
            </w:pPr>
            <w:r w:rsidRPr="005F2049">
              <w:rPr>
                <w:rFonts w:ascii="Calibri" w:hAnsi="Calibri"/>
                <w:bCs/>
                <w:szCs w:val="22"/>
              </w:rPr>
              <w:t xml:space="preserve">The application relates </w:t>
            </w:r>
            <w:r w:rsidR="005F2049" w:rsidRPr="005F2049">
              <w:rPr>
                <w:rFonts w:ascii="Calibri" w:hAnsi="Calibri"/>
                <w:bCs/>
                <w:szCs w:val="22"/>
              </w:rPr>
              <w:t xml:space="preserve">to a building currently under construction within the residential curtilage associated with 1 Ribblesdale Place, Osbaldeston.  The application property is located outside of defined settlement limits of Osbaldeston, being located </w:t>
            </w:r>
            <w:r w:rsidR="006E4B46">
              <w:rPr>
                <w:rFonts w:ascii="Calibri" w:hAnsi="Calibri"/>
                <w:bCs/>
                <w:szCs w:val="22"/>
              </w:rPr>
              <w:t>within an area</w:t>
            </w:r>
            <w:r w:rsidR="005F2049" w:rsidRPr="005F2049">
              <w:rPr>
                <w:rFonts w:ascii="Calibri" w:hAnsi="Calibri"/>
                <w:bCs/>
                <w:szCs w:val="22"/>
              </w:rPr>
              <w:t xml:space="preserve"> that benefits from an open countryside designation.</w:t>
            </w:r>
          </w:p>
          <w:p w14:paraId="62370E9F" w14:textId="0DD23507" w:rsidR="0019713D" w:rsidRPr="00AF4ABF" w:rsidRDefault="0019713D" w:rsidP="007D48AF">
            <w:pPr>
              <w:pStyle w:val="Header"/>
              <w:tabs>
                <w:tab w:val="clear" w:pos="4153"/>
                <w:tab w:val="clear" w:pos="8306"/>
              </w:tabs>
              <w:contextualSpacing/>
              <w:jc w:val="both"/>
              <w:rPr>
                <w:rFonts w:ascii="Calibri" w:hAnsi="Calibri"/>
                <w:bCs/>
                <w:color w:val="FF0000"/>
                <w:szCs w:val="22"/>
              </w:rPr>
            </w:pPr>
          </w:p>
        </w:tc>
      </w:tr>
      <w:tr w:rsidR="00AF4ABF" w:rsidRPr="00AF4ABF"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184976" w:rsidRDefault="00C0704D" w:rsidP="00440CB6">
            <w:pPr>
              <w:pStyle w:val="Header"/>
              <w:tabs>
                <w:tab w:val="clear" w:pos="4153"/>
                <w:tab w:val="clear" w:pos="8306"/>
              </w:tabs>
              <w:jc w:val="both"/>
              <w:rPr>
                <w:rFonts w:ascii="Calibri" w:hAnsi="Calibri"/>
                <w:b/>
                <w:szCs w:val="22"/>
              </w:rPr>
            </w:pPr>
            <w:r w:rsidRPr="00184976">
              <w:rPr>
                <w:rFonts w:ascii="Calibri" w:hAnsi="Calibri"/>
                <w:b/>
                <w:szCs w:val="22"/>
              </w:rPr>
              <w:t>Proposed Development for which consent is sought:</w:t>
            </w:r>
          </w:p>
          <w:p w14:paraId="7C8F28E1" w14:textId="77777777" w:rsidR="00C0704D" w:rsidRPr="00AF4ABF" w:rsidRDefault="00C0704D" w:rsidP="00440CB6">
            <w:pPr>
              <w:pStyle w:val="Header"/>
              <w:tabs>
                <w:tab w:val="clear" w:pos="4153"/>
                <w:tab w:val="clear" w:pos="8306"/>
              </w:tabs>
              <w:jc w:val="both"/>
              <w:rPr>
                <w:rFonts w:ascii="Calibri" w:hAnsi="Calibri"/>
                <w:b/>
                <w:color w:val="FF0000"/>
                <w:szCs w:val="22"/>
              </w:rPr>
            </w:pPr>
          </w:p>
          <w:p w14:paraId="138287FE" w14:textId="77777777" w:rsidR="006E4B46" w:rsidRDefault="00324056" w:rsidP="00BF77A9">
            <w:pPr>
              <w:jc w:val="both"/>
              <w:rPr>
                <w:rFonts w:ascii="Calibri" w:hAnsi="Calibri"/>
                <w:szCs w:val="22"/>
              </w:rPr>
            </w:pPr>
            <w:r w:rsidRPr="006E4B46">
              <w:rPr>
                <w:rFonts w:ascii="Calibri" w:hAnsi="Calibri"/>
                <w:szCs w:val="22"/>
              </w:rPr>
              <w:lastRenderedPageBreak/>
              <w:t xml:space="preserve">The application seeks </w:t>
            </w:r>
            <w:r w:rsidR="00184976" w:rsidRPr="006E4B46">
              <w:rPr>
                <w:rFonts w:ascii="Calibri" w:hAnsi="Calibri"/>
                <w:szCs w:val="22"/>
              </w:rPr>
              <w:t xml:space="preserve">consent </w:t>
            </w:r>
            <w:r w:rsidR="001C3CC8" w:rsidRPr="006E4B46">
              <w:rPr>
                <w:rFonts w:ascii="Calibri" w:hAnsi="Calibri"/>
                <w:szCs w:val="22"/>
              </w:rPr>
              <w:t xml:space="preserve">for </w:t>
            </w:r>
            <w:r w:rsidR="00293CDB" w:rsidRPr="006E4B46">
              <w:rPr>
                <w:rFonts w:ascii="Calibri" w:hAnsi="Calibri"/>
                <w:szCs w:val="22"/>
              </w:rPr>
              <w:t xml:space="preserve">the </w:t>
            </w:r>
            <w:r w:rsidR="00C94278" w:rsidRPr="006E4B46">
              <w:rPr>
                <w:rFonts w:ascii="Calibri" w:hAnsi="Calibri"/>
                <w:szCs w:val="22"/>
              </w:rPr>
              <w:t>regularisation of a building currently under construction which has been constructed in deviation from the submitted details pursuant to planning permission 3/2020/0977.</w:t>
            </w:r>
          </w:p>
          <w:p w14:paraId="1959ECA7" w14:textId="77777777" w:rsidR="005006CE" w:rsidRDefault="006E4B46" w:rsidP="00361F18">
            <w:pPr>
              <w:jc w:val="both"/>
              <w:rPr>
                <w:rFonts w:ascii="Calibri" w:hAnsi="Calibri"/>
                <w:szCs w:val="22"/>
              </w:rPr>
            </w:pPr>
            <w:r w:rsidRPr="00361F18">
              <w:rPr>
                <w:rFonts w:ascii="Calibri" w:hAnsi="Calibri"/>
                <w:szCs w:val="22"/>
              </w:rPr>
              <w:t xml:space="preserve">The submitted details propose that that the building will be </w:t>
            </w:r>
            <w:r w:rsidR="00361F18" w:rsidRPr="00361F18">
              <w:rPr>
                <w:rFonts w:ascii="Calibri" w:hAnsi="Calibri"/>
                <w:szCs w:val="22"/>
              </w:rPr>
              <w:t>accommodate</w:t>
            </w:r>
            <w:r w:rsidR="006D3802" w:rsidRPr="00361F18">
              <w:rPr>
                <w:rFonts w:ascii="Calibri" w:hAnsi="Calibri"/>
                <w:szCs w:val="22"/>
              </w:rPr>
              <w:t xml:space="preserve"> a ‘</w:t>
            </w:r>
            <w:r w:rsidR="00361F18" w:rsidRPr="00361F18">
              <w:rPr>
                <w:rFonts w:ascii="Calibri" w:hAnsi="Calibri"/>
                <w:szCs w:val="22"/>
              </w:rPr>
              <w:t>garage</w:t>
            </w:r>
            <w:r w:rsidR="006D3802" w:rsidRPr="00361F18">
              <w:rPr>
                <w:rFonts w:ascii="Calibri" w:hAnsi="Calibri"/>
                <w:szCs w:val="22"/>
              </w:rPr>
              <w:t xml:space="preserve">’/store at ground floor with a </w:t>
            </w:r>
            <w:r w:rsidR="00361F18" w:rsidRPr="00361F18">
              <w:rPr>
                <w:rFonts w:ascii="Calibri" w:hAnsi="Calibri"/>
                <w:szCs w:val="22"/>
              </w:rPr>
              <w:t>one bedroomed annexe being accommodated at first floor within the roof space.</w:t>
            </w:r>
          </w:p>
          <w:p w14:paraId="1B20488F" w14:textId="1EA84021" w:rsidR="00361F18" w:rsidRPr="00361F18" w:rsidRDefault="00361F18" w:rsidP="00361F18">
            <w:pPr>
              <w:jc w:val="both"/>
              <w:rPr>
                <w:rFonts w:ascii="Calibri" w:hAnsi="Calibri"/>
                <w:color w:val="FF0000"/>
                <w:szCs w:val="22"/>
              </w:rPr>
            </w:pPr>
          </w:p>
        </w:tc>
      </w:tr>
      <w:tr w:rsidR="00AF4ABF" w:rsidRPr="00AF4ABF"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BA10D3" w14:textId="77777777" w:rsidR="00C10D0A" w:rsidRDefault="00C10D0A" w:rsidP="00C10D0A">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36D9C62B" w14:textId="77777777" w:rsidR="00A17F59" w:rsidRDefault="00A17F59" w:rsidP="00C10D0A">
            <w:pPr>
              <w:contextualSpacing/>
              <w:jc w:val="both"/>
              <w:rPr>
                <w:rFonts w:ascii="Calibri" w:hAnsi="Calibri"/>
                <w:b/>
                <w:color w:val="FF0000"/>
              </w:rPr>
            </w:pPr>
          </w:p>
          <w:p w14:paraId="18B04D5E" w14:textId="313A293D" w:rsidR="005F2049" w:rsidRPr="000D7EC7" w:rsidRDefault="000D7EC7" w:rsidP="00C10D0A">
            <w:pPr>
              <w:contextualSpacing/>
              <w:jc w:val="both"/>
              <w:rPr>
                <w:rFonts w:ascii="Calibri" w:hAnsi="Calibri"/>
                <w:bCs/>
              </w:rPr>
            </w:pPr>
            <w:r w:rsidRPr="000D7EC7">
              <w:rPr>
                <w:rFonts w:ascii="Calibri" w:hAnsi="Calibri"/>
                <w:bCs/>
              </w:rPr>
              <w:t>Given the application relates to a</w:t>
            </w:r>
            <w:r>
              <w:rPr>
                <w:rFonts w:ascii="Calibri" w:hAnsi="Calibri"/>
                <w:bCs/>
              </w:rPr>
              <w:t xml:space="preserve"> building currently under construction </w:t>
            </w:r>
            <w:r w:rsidRPr="000D7EC7">
              <w:rPr>
                <w:rFonts w:ascii="Calibri" w:hAnsi="Calibri"/>
                <w:bCs/>
              </w:rPr>
              <w:t>within close proximity of existing nearby residential receptors, consideration must be given in respect of the potential for the proposal to result in undue impacts upon the residential amenities of nearby residential occupiers.</w:t>
            </w:r>
          </w:p>
          <w:p w14:paraId="0653295B" w14:textId="77777777" w:rsidR="000D7EC7" w:rsidRDefault="000D7EC7" w:rsidP="00C10D0A">
            <w:pPr>
              <w:contextualSpacing/>
              <w:jc w:val="both"/>
              <w:rPr>
                <w:rFonts w:ascii="Calibri" w:hAnsi="Calibri"/>
                <w:b/>
              </w:rPr>
            </w:pPr>
          </w:p>
          <w:p w14:paraId="5214D0C6" w14:textId="50AA273C" w:rsidR="000D7EC7" w:rsidRPr="000D7EC7" w:rsidRDefault="000D7EC7" w:rsidP="00C10D0A">
            <w:pPr>
              <w:contextualSpacing/>
              <w:jc w:val="both"/>
              <w:rPr>
                <w:rFonts w:ascii="Calibri" w:hAnsi="Calibri"/>
                <w:bCs/>
              </w:rPr>
            </w:pPr>
            <w:r w:rsidRPr="000D7EC7">
              <w:rPr>
                <w:rFonts w:ascii="Calibri" w:hAnsi="Calibri"/>
                <w:bCs/>
              </w:rPr>
              <w:t>The building to which the application relates is located to the north of and within the residential curtilage of 1 Ribblesdale Place, also being located to the northeast of the neighbouring property known as 2 Ribblesdale Place, being located to the west of the residential garden area associated with the aforementioned property.</w:t>
            </w:r>
          </w:p>
          <w:p w14:paraId="62750C56" w14:textId="77777777" w:rsidR="000D7EC7" w:rsidRPr="000D7EC7" w:rsidRDefault="000D7EC7" w:rsidP="00C10D0A">
            <w:pPr>
              <w:contextualSpacing/>
              <w:jc w:val="both"/>
              <w:rPr>
                <w:rFonts w:ascii="Calibri" w:hAnsi="Calibri"/>
                <w:bCs/>
              </w:rPr>
            </w:pPr>
          </w:p>
          <w:p w14:paraId="767E2FA5" w14:textId="7A2A9F8A" w:rsidR="000D7EC7" w:rsidRPr="000D7EC7" w:rsidRDefault="000D7EC7" w:rsidP="00C10D0A">
            <w:pPr>
              <w:contextualSpacing/>
              <w:jc w:val="both"/>
              <w:rPr>
                <w:rFonts w:ascii="Calibri" w:hAnsi="Calibri"/>
                <w:bCs/>
              </w:rPr>
            </w:pPr>
            <w:r w:rsidRPr="000D7EC7">
              <w:rPr>
                <w:rFonts w:ascii="Calibri" w:hAnsi="Calibri"/>
                <w:bCs/>
              </w:rPr>
              <w:t>Taking into account the spatial offset of the proposed building from that of the nearest neighbouring dwelling and taking account of the solar orientation of the building in relation to number 2 it is not considered that the proposal will result in a significant measurable overbearing impact or loss of light that would warrant the refusal to grant planning permission on the</w:t>
            </w:r>
            <w:r w:rsidR="00E32160">
              <w:rPr>
                <w:rFonts w:ascii="Calibri" w:hAnsi="Calibri"/>
                <w:bCs/>
              </w:rPr>
              <w:t>se</w:t>
            </w:r>
            <w:r w:rsidRPr="000D7EC7">
              <w:rPr>
                <w:rFonts w:ascii="Calibri" w:hAnsi="Calibri"/>
                <w:bCs/>
              </w:rPr>
              <w:t xml:space="preserve"> grounds.</w:t>
            </w:r>
          </w:p>
          <w:p w14:paraId="19DDD3F5" w14:textId="77777777" w:rsidR="000D7EC7" w:rsidRPr="000D7EC7" w:rsidRDefault="000D7EC7" w:rsidP="00C10D0A">
            <w:pPr>
              <w:contextualSpacing/>
              <w:jc w:val="both"/>
              <w:rPr>
                <w:rFonts w:ascii="Calibri" w:hAnsi="Calibri"/>
                <w:bCs/>
              </w:rPr>
            </w:pPr>
          </w:p>
          <w:p w14:paraId="573B59C1" w14:textId="1D0EA391" w:rsidR="000D7EC7" w:rsidRPr="000D7EC7" w:rsidRDefault="000D7EC7" w:rsidP="00C10D0A">
            <w:pPr>
              <w:contextualSpacing/>
              <w:jc w:val="both"/>
              <w:rPr>
                <w:rFonts w:ascii="Calibri" w:hAnsi="Calibri"/>
                <w:bCs/>
              </w:rPr>
            </w:pPr>
            <w:r w:rsidRPr="000D7EC7">
              <w:rPr>
                <w:rFonts w:ascii="Calibri" w:hAnsi="Calibri"/>
                <w:bCs/>
              </w:rPr>
              <w:t>In respect of direct intervisibility between number 2 and the proposed building, the submitted details do not propose the introduction of any windows that would afford a direct outlook into the neighbouring garden area associated with number 2 or the dwellings itself.  As such it is not considered that the proposal will result in any significant measurable detrimental impacts upon residential amenities of the occupiers of number 2 that would warrant the refusal to grant planning permission in relation to matters of harm to residential amenities.</w:t>
            </w:r>
          </w:p>
          <w:p w14:paraId="6F1781F9" w14:textId="77777777" w:rsidR="005F2049" w:rsidRDefault="005F2049" w:rsidP="00C10D0A">
            <w:pPr>
              <w:contextualSpacing/>
              <w:jc w:val="both"/>
              <w:rPr>
                <w:rFonts w:ascii="Calibri" w:hAnsi="Calibri"/>
                <w:b/>
                <w:color w:val="FF0000"/>
              </w:rPr>
            </w:pPr>
          </w:p>
          <w:p w14:paraId="234B3020" w14:textId="77777777" w:rsidR="005F2049" w:rsidRDefault="005F2049" w:rsidP="005F2049">
            <w:pPr>
              <w:contextualSpacing/>
              <w:jc w:val="both"/>
              <w:rPr>
                <w:rFonts w:ascii="Calibri" w:hAnsi="Calibri"/>
                <w:bCs/>
                <w:szCs w:val="22"/>
              </w:rPr>
            </w:pPr>
            <w:r w:rsidRPr="00DC73A9">
              <w:rPr>
                <w:rFonts w:ascii="Calibri" w:hAnsi="Calibri"/>
                <w:bCs/>
                <w:szCs w:val="22"/>
              </w:rPr>
              <w:t>As such, and taking account of the above matters, the proposal does not raise any significant direct conflicts with Policy DMG1 which seeks to ensure of adequate standards of residential amenity and protect against development(s) that would result in measurable detrimental impact(s) upon nearby existing residential amenities.</w:t>
            </w:r>
          </w:p>
          <w:p w14:paraId="632BE018" w14:textId="63FA66F3" w:rsidR="00C10D0A" w:rsidRPr="00AF4ABF" w:rsidRDefault="00C10D0A" w:rsidP="007A625D">
            <w:pPr>
              <w:contextualSpacing/>
              <w:jc w:val="both"/>
              <w:rPr>
                <w:rFonts w:ascii="Calibri" w:hAnsi="Calibri"/>
                <w:b/>
                <w:color w:val="FF0000"/>
              </w:rPr>
            </w:pPr>
          </w:p>
        </w:tc>
      </w:tr>
      <w:tr w:rsidR="00C10D0A" w:rsidRPr="00AF4ABF" w14:paraId="5F6711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56E575" w14:textId="77777777" w:rsidR="00C10D0A" w:rsidRDefault="00C10D0A" w:rsidP="00C10D0A">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27BC0733" w14:textId="77777777" w:rsidR="00C10D0A" w:rsidRDefault="00C10D0A" w:rsidP="00C10D0A">
            <w:pPr>
              <w:pStyle w:val="Header"/>
              <w:tabs>
                <w:tab w:val="clear" w:pos="4153"/>
                <w:tab w:val="clear" w:pos="8306"/>
              </w:tabs>
              <w:contextualSpacing/>
              <w:jc w:val="both"/>
              <w:rPr>
                <w:rFonts w:ascii="Calibri" w:hAnsi="Calibri"/>
                <w:b/>
                <w:szCs w:val="22"/>
              </w:rPr>
            </w:pPr>
          </w:p>
          <w:p w14:paraId="7970620A" w14:textId="77777777" w:rsidR="0093382C" w:rsidRPr="00E8025D" w:rsidRDefault="0093382C" w:rsidP="0093382C">
            <w:pPr>
              <w:pStyle w:val="Header"/>
              <w:tabs>
                <w:tab w:val="clear" w:pos="4153"/>
                <w:tab w:val="clear" w:pos="8306"/>
              </w:tabs>
              <w:contextualSpacing/>
              <w:jc w:val="both"/>
              <w:rPr>
                <w:rFonts w:ascii="Calibri" w:hAnsi="Calibri"/>
                <w:bCs/>
                <w:szCs w:val="22"/>
              </w:rPr>
            </w:pPr>
            <w:r w:rsidRPr="00E8025D">
              <w:rPr>
                <w:rFonts w:ascii="Calibri" w:hAnsi="Calibri"/>
                <w:bCs/>
                <w:szCs w:val="22"/>
              </w:rPr>
              <w:t xml:space="preserve">Given the sites location within the defined open countryside, in assessing the visual impact of the proposal, Policy DMG2 is engaged which states that </w:t>
            </w:r>
            <w:r w:rsidRPr="00E8025D">
              <w:rPr>
                <w:rFonts w:ascii="Calibri" w:hAnsi="Calibri"/>
                <w:bCs/>
                <w:i/>
                <w:iCs/>
                <w:szCs w:val="22"/>
              </w:rPr>
              <w:t>‘within the open countryside development will be required to be in keeping with the character of the landscape and acknowledge the special qualities of the area by virtue of its size, design, use of materials, landscaping and siting’.</w:t>
            </w:r>
          </w:p>
          <w:p w14:paraId="676E0D8B" w14:textId="77777777" w:rsidR="0093382C" w:rsidRDefault="0093382C" w:rsidP="0093382C">
            <w:pPr>
              <w:pStyle w:val="Header"/>
              <w:tabs>
                <w:tab w:val="clear" w:pos="4153"/>
                <w:tab w:val="clear" w:pos="8306"/>
              </w:tabs>
              <w:contextualSpacing/>
              <w:jc w:val="both"/>
              <w:rPr>
                <w:rFonts w:ascii="Calibri" w:hAnsi="Calibri"/>
                <w:bCs/>
                <w:szCs w:val="22"/>
              </w:rPr>
            </w:pPr>
          </w:p>
          <w:p w14:paraId="040A8DB4" w14:textId="77777777" w:rsidR="0093382C" w:rsidRPr="003A1F5D" w:rsidRDefault="0093382C" w:rsidP="0093382C">
            <w:pPr>
              <w:pStyle w:val="Header"/>
              <w:tabs>
                <w:tab w:val="clear" w:pos="4153"/>
                <w:tab w:val="clear" w:pos="8306"/>
              </w:tabs>
              <w:contextualSpacing/>
              <w:jc w:val="both"/>
              <w:rPr>
                <w:rFonts w:ascii="Calibri" w:hAnsi="Calibri"/>
                <w:bCs/>
                <w:szCs w:val="22"/>
              </w:rPr>
            </w:pPr>
            <w:r w:rsidRPr="003A1F5D">
              <w:rPr>
                <w:rFonts w:ascii="Calibri" w:hAnsi="Calibri"/>
                <w:bCs/>
                <w:szCs w:val="22"/>
              </w:rPr>
              <w:t>Policy DMG1 is</w:t>
            </w:r>
            <w:r>
              <w:rPr>
                <w:rFonts w:ascii="Calibri" w:hAnsi="Calibri"/>
                <w:bCs/>
                <w:szCs w:val="22"/>
              </w:rPr>
              <w:t xml:space="preserve"> </w:t>
            </w:r>
            <w:r w:rsidRPr="003A1F5D">
              <w:rPr>
                <w:rFonts w:ascii="Calibri" w:hAnsi="Calibri"/>
                <w:bCs/>
                <w:szCs w:val="22"/>
              </w:rPr>
              <w:t xml:space="preserve">additionally engaged </w:t>
            </w:r>
            <w:r>
              <w:rPr>
                <w:rFonts w:ascii="Calibri" w:hAnsi="Calibri"/>
                <w:bCs/>
                <w:szCs w:val="22"/>
              </w:rPr>
              <w:t xml:space="preserve">in parallel with Policy DMG2, particularly </w:t>
            </w:r>
            <w:r w:rsidRPr="003A1F5D">
              <w:rPr>
                <w:rFonts w:ascii="Calibri" w:hAnsi="Calibri"/>
                <w:bCs/>
                <w:szCs w:val="22"/>
              </w:rPr>
              <w:t>insofar that the Policy sets out general Development Management considerations and provides and overarching series of considerations that the Local planning Authority will have regard to in ensuring and securing high-quality development.  In this respect the DMG1 states:</w:t>
            </w:r>
          </w:p>
          <w:p w14:paraId="23EADDB4" w14:textId="77777777" w:rsidR="0093382C" w:rsidRPr="003A1F5D" w:rsidRDefault="0093382C" w:rsidP="0093382C">
            <w:pPr>
              <w:pStyle w:val="Header"/>
              <w:tabs>
                <w:tab w:val="clear" w:pos="4153"/>
                <w:tab w:val="clear" w:pos="8306"/>
              </w:tabs>
              <w:contextualSpacing/>
              <w:jc w:val="both"/>
              <w:rPr>
                <w:rFonts w:ascii="Calibri" w:hAnsi="Calibri"/>
                <w:bCs/>
                <w:szCs w:val="22"/>
              </w:rPr>
            </w:pPr>
          </w:p>
          <w:p w14:paraId="0447F56C" w14:textId="77777777" w:rsidR="0093382C" w:rsidRPr="003A1F5D" w:rsidRDefault="0093382C" w:rsidP="0093382C">
            <w:pPr>
              <w:jc w:val="both"/>
              <w:rPr>
                <w:rFonts w:ascii="Calibri" w:hAnsi="Calibri" w:cs="Calibri"/>
                <w:i/>
                <w:iCs/>
                <w:szCs w:val="22"/>
              </w:rPr>
            </w:pPr>
            <w:r w:rsidRPr="003A1F5D">
              <w:rPr>
                <w:rFonts w:ascii="Calibri" w:hAnsi="Calibri" w:cs="Calibri"/>
                <w:i/>
                <w:iCs/>
                <w:szCs w:val="22"/>
              </w:rPr>
              <w:t>In determining planning applications, all development must:</w:t>
            </w:r>
          </w:p>
          <w:p w14:paraId="579ED818" w14:textId="77777777" w:rsidR="0093382C" w:rsidRPr="003A1F5D" w:rsidRDefault="0093382C" w:rsidP="0093382C">
            <w:pPr>
              <w:jc w:val="both"/>
              <w:rPr>
                <w:rFonts w:ascii="Calibri" w:hAnsi="Calibri" w:cs="Calibri"/>
                <w:i/>
                <w:iCs/>
                <w:szCs w:val="22"/>
              </w:rPr>
            </w:pPr>
          </w:p>
          <w:p w14:paraId="03D502D7" w14:textId="77777777" w:rsidR="0093382C" w:rsidRPr="003A1F5D" w:rsidRDefault="0093382C" w:rsidP="0093382C">
            <w:pPr>
              <w:jc w:val="both"/>
              <w:rPr>
                <w:rFonts w:ascii="Calibri" w:hAnsi="Calibri" w:cs="Calibri"/>
                <w:i/>
                <w:iCs/>
                <w:szCs w:val="22"/>
              </w:rPr>
            </w:pPr>
            <w:r w:rsidRPr="003A1F5D">
              <w:rPr>
                <w:rFonts w:ascii="Calibri" w:hAnsi="Calibri" w:cs="Calibri"/>
                <w:i/>
                <w:iCs/>
                <w:szCs w:val="22"/>
              </w:rPr>
              <w:t>DESIGN</w:t>
            </w:r>
          </w:p>
          <w:p w14:paraId="1DDA97B9" w14:textId="77777777" w:rsidR="0093382C" w:rsidRPr="003A1F5D" w:rsidRDefault="0093382C" w:rsidP="0093382C">
            <w:pPr>
              <w:jc w:val="both"/>
              <w:rPr>
                <w:rFonts w:ascii="Calibri" w:hAnsi="Calibri" w:cs="Calibri"/>
                <w:i/>
                <w:iCs/>
                <w:szCs w:val="22"/>
              </w:rPr>
            </w:pPr>
          </w:p>
          <w:p w14:paraId="65FB4EB9" w14:textId="77777777" w:rsidR="0093382C" w:rsidRPr="003A1F5D" w:rsidRDefault="0093382C" w:rsidP="0093382C">
            <w:pPr>
              <w:pStyle w:val="ListParagraph"/>
              <w:numPr>
                <w:ilvl w:val="0"/>
                <w:numId w:val="3"/>
              </w:numPr>
              <w:overflowPunct/>
              <w:autoSpaceDE/>
              <w:autoSpaceDN/>
              <w:adjustRightInd/>
              <w:jc w:val="both"/>
              <w:textAlignment w:val="auto"/>
              <w:rPr>
                <w:rFonts w:ascii="Calibri" w:hAnsi="Calibri" w:cs="Calibri"/>
                <w:i/>
                <w:iCs/>
                <w:szCs w:val="22"/>
              </w:rPr>
            </w:pPr>
            <w:r w:rsidRPr="003A1F5D">
              <w:rPr>
                <w:rFonts w:ascii="Calibri" w:hAnsi="Calibri" w:cs="Calibri"/>
                <w:i/>
                <w:iCs/>
                <w:szCs w:val="22"/>
              </w:rPr>
              <w:t>Be of a high standard of building design which considers the 8 building in context principles (from the CABE/English Heritage building on context toolkit.</w:t>
            </w:r>
          </w:p>
          <w:p w14:paraId="75080A16" w14:textId="77777777" w:rsidR="0093382C" w:rsidRPr="003A1F5D" w:rsidRDefault="0093382C" w:rsidP="0093382C">
            <w:pPr>
              <w:pStyle w:val="ListParagraph"/>
              <w:numPr>
                <w:ilvl w:val="0"/>
                <w:numId w:val="3"/>
              </w:numPr>
              <w:overflowPunct/>
              <w:autoSpaceDE/>
              <w:autoSpaceDN/>
              <w:adjustRightInd/>
              <w:jc w:val="both"/>
              <w:textAlignment w:val="auto"/>
              <w:rPr>
                <w:rFonts w:ascii="Calibri" w:hAnsi="Calibri" w:cs="Calibri"/>
                <w:i/>
                <w:iCs/>
                <w:szCs w:val="22"/>
              </w:rPr>
            </w:pPr>
            <w:r w:rsidRPr="003A1F5D">
              <w:rPr>
                <w:rFonts w:ascii="Calibri" w:hAnsi="Calibri" w:cs="Calibri"/>
                <w:i/>
                <w:iCs/>
                <w:szCs w:val="22"/>
              </w:rPr>
              <w:t>Be sympathetic to existing and proposed land uses in terms of its size, intensity and nature as well as scale, massing, style, features and building materials.</w:t>
            </w:r>
          </w:p>
          <w:p w14:paraId="5077E9FF" w14:textId="77777777" w:rsidR="0093382C" w:rsidRPr="003A1F5D" w:rsidRDefault="0093382C" w:rsidP="0093382C">
            <w:pPr>
              <w:pStyle w:val="ListParagraph"/>
              <w:numPr>
                <w:ilvl w:val="0"/>
                <w:numId w:val="3"/>
              </w:numPr>
              <w:overflowPunct/>
              <w:autoSpaceDE/>
              <w:autoSpaceDN/>
              <w:adjustRightInd/>
              <w:jc w:val="both"/>
              <w:textAlignment w:val="auto"/>
              <w:rPr>
                <w:rFonts w:ascii="Calibri" w:hAnsi="Calibri" w:cs="Calibri"/>
                <w:i/>
                <w:iCs/>
                <w:szCs w:val="22"/>
              </w:rPr>
            </w:pPr>
            <w:r w:rsidRPr="003A1F5D">
              <w:rPr>
                <w:rFonts w:ascii="Calibri" w:hAnsi="Calibri" w:cs="Calibri"/>
                <w:i/>
                <w:iCs/>
                <w:szCs w:val="22"/>
              </w:rPr>
              <w:lastRenderedPageBreak/>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2358CD28" w14:textId="77777777" w:rsidR="0093382C" w:rsidRPr="003A1F5D" w:rsidRDefault="0093382C" w:rsidP="0093382C">
            <w:pPr>
              <w:pStyle w:val="ListParagraph"/>
              <w:numPr>
                <w:ilvl w:val="0"/>
                <w:numId w:val="3"/>
              </w:numPr>
              <w:overflowPunct/>
              <w:autoSpaceDE/>
              <w:autoSpaceDN/>
              <w:adjustRightInd/>
              <w:jc w:val="both"/>
              <w:textAlignment w:val="auto"/>
              <w:rPr>
                <w:rFonts w:ascii="Calibri" w:hAnsi="Calibri" w:cs="Calibri"/>
                <w:i/>
                <w:iCs/>
                <w:szCs w:val="22"/>
              </w:rPr>
            </w:pPr>
            <w:r w:rsidRPr="003A1F5D">
              <w:rPr>
                <w:rFonts w:ascii="Calibri" w:hAnsi="Calibri" w:cs="Calibri"/>
                <w:i/>
                <w:iCs/>
                <w:szCs w:val="22"/>
              </w:rPr>
              <w:t>Use sustainable construction techniques where possible and provide evidence that energy efficiency, as described within policy DME5, has been incorporated into schemes where possible.</w:t>
            </w:r>
          </w:p>
          <w:p w14:paraId="20C33221" w14:textId="77777777" w:rsidR="0093382C" w:rsidRPr="003A1F5D" w:rsidRDefault="0093382C" w:rsidP="0093382C">
            <w:pPr>
              <w:pStyle w:val="ListParagraph"/>
              <w:numPr>
                <w:ilvl w:val="0"/>
                <w:numId w:val="3"/>
              </w:numPr>
              <w:overflowPunct/>
              <w:autoSpaceDE/>
              <w:autoSpaceDN/>
              <w:adjustRightInd/>
              <w:jc w:val="both"/>
              <w:textAlignment w:val="auto"/>
              <w:rPr>
                <w:rFonts w:ascii="Calibri" w:hAnsi="Calibri" w:cs="Calibri"/>
                <w:i/>
                <w:iCs/>
                <w:szCs w:val="22"/>
              </w:rPr>
            </w:pPr>
            <w:r w:rsidRPr="003A1F5D">
              <w:rPr>
                <w:rFonts w:ascii="Calibri" w:hAnsi="Calibri" w:cs="Calibri"/>
                <w:i/>
                <w:iCs/>
                <w:szCs w:val="22"/>
              </w:rPr>
              <w:t>the code for sustainable homes and lifetime homes, or any subsequent nationally recognised equivalent standards, should be incorporated into schemes.</w:t>
            </w:r>
          </w:p>
          <w:p w14:paraId="7B66D11C" w14:textId="77777777" w:rsidR="0093382C" w:rsidRPr="003A1F5D" w:rsidRDefault="0093382C" w:rsidP="0093382C">
            <w:pPr>
              <w:jc w:val="both"/>
              <w:rPr>
                <w:rFonts w:ascii="Calibri" w:hAnsi="Calibri" w:cs="Calibri"/>
                <w:b/>
                <w:bCs/>
                <w:i/>
                <w:iCs/>
                <w:szCs w:val="22"/>
              </w:rPr>
            </w:pPr>
          </w:p>
          <w:p w14:paraId="3271170F" w14:textId="77777777" w:rsidR="0093382C" w:rsidRPr="003A1F5D" w:rsidRDefault="0093382C" w:rsidP="0093382C">
            <w:pPr>
              <w:jc w:val="both"/>
              <w:rPr>
                <w:rFonts w:ascii="Calibri" w:hAnsi="Calibri" w:cs="Calibri"/>
                <w:i/>
                <w:iCs/>
                <w:szCs w:val="22"/>
              </w:rPr>
            </w:pPr>
            <w:r w:rsidRPr="003A1F5D">
              <w:rPr>
                <w:rFonts w:ascii="Calibri" w:hAnsi="Calibri" w:cs="Calibri"/>
                <w:i/>
                <w:iCs/>
                <w:szCs w:val="22"/>
              </w:rPr>
              <w:t>ACCESS</w:t>
            </w:r>
          </w:p>
          <w:p w14:paraId="378E65E7" w14:textId="77777777" w:rsidR="0093382C" w:rsidRPr="003A1F5D" w:rsidRDefault="0093382C" w:rsidP="0093382C">
            <w:pPr>
              <w:jc w:val="both"/>
              <w:rPr>
                <w:rFonts w:ascii="Calibri" w:hAnsi="Calibri" w:cs="Calibri"/>
                <w:b/>
                <w:bCs/>
                <w:i/>
                <w:iCs/>
                <w:szCs w:val="22"/>
              </w:rPr>
            </w:pPr>
          </w:p>
          <w:p w14:paraId="6CE82562" w14:textId="77777777" w:rsidR="0093382C" w:rsidRPr="003A1F5D" w:rsidRDefault="0093382C" w:rsidP="0093382C">
            <w:pPr>
              <w:pStyle w:val="ListParagraph"/>
              <w:numPr>
                <w:ilvl w:val="0"/>
                <w:numId w:val="37"/>
              </w:numPr>
              <w:overflowPunct/>
              <w:autoSpaceDE/>
              <w:autoSpaceDN/>
              <w:adjustRightInd/>
              <w:jc w:val="both"/>
              <w:textAlignment w:val="auto"/>
              <w:rPr>
                <w:rFonts w:ascii="Calibri" w:hAnsi="Calibri" w:cs="Calibri"/>
                <w:i/>
                <w:iCs/>
                <w:szCs w:val="22"/>
              </w:rPr>
            </w:pPr>
            <w:r w:rsidRPr="003A1F5D">
              <w:rPr>
                <w:rFonts w:ascii="Calibri" w:hAnsi="Calibri" w:cs="Calibri"/>
                <w:i/>
                <w:iCs/>
                <w:szCs w:val="22"/>
              </w:rPr>
              <w:t>Consider the potential traffic and car parking implications.</w:t>
            </w:r>
          </w:p>
          <w:p w14:paraId="20EF11F8" w14:textId="77777777" w:rsidR="0093382C" w:rsidRPr="003A1F5D" w:rsidRDefault="0093382C" w:rsidP="0093382C">
            <w:pPr>
              <w:pStyle w:val="ListParagraph"/>
              <w:numPr>
                <w:ilvl w:val="0"/>
                <w:numId w:val="37"/>
              </w:numPr>
              <w:overflowPunct/>
              <w:autoSpaceDE/>
              <w:autoSpaceDN/>
              <w:adjustRightInd/>
              <w:jc w:val="both"/>
              <w:textAlignment w:val="auto"/>
              <w:rPr>
                <w:rFonts w:ascii="Calibri" w:hAnsi="Calibri" w:cs="Calibri"/>
                <w:i/>
                <w:iCs/>
                <w:szCs w:val="22"/>
              </w:rPr>
            </w:pPr>
            <w:r w:rsidRPr="003A1F5D">
              <w:rPr>
                <w:rFonts w:ascii="Calibri" w:hAnsi="Calibri" w:cs="Calibri"/>
                <w:i/>
                <w:iCs/>
                <w:szCs w:val="22"/>
              </w:rPr>
              <w:t>Ensure safe access can be provided which is suitable to accommodate the scale and type of traffic likely to be generated.</w:t>
            </w:r>
          </w:p>
          <w:p w14:paraId="0E912A31" w14:textId="77777777" w:rsidR="0093382C" w:rsidRPr="003A1F5D" w:rsidRDefault="0093382C" w:rsidP="0093382C">
            <w:pPr>
              <w:pStyle w:val="ListParagraph"/>
              <w:numPr>
                <w:ilvl w:val="0"/>
                <w:numId w:val="37"/>
              </w:numPr>
              <w:overflowPunct/>
              <w:autoSpaceDE/>
              <w:autoSpaceDN/>
              <w:adjustRightInd/>
              <w:jc w:val="both"/>
              <w:textAlignment w:val="auto"/>
              <w:rPr>
                <w:rFonts w:ascii="Calibri" w:hAnsi="Calibri" w:cs="Calibri"/>
                <w:i/>
                <w:iCs/>
                <w:szCs w:val="22"/>
              </w:rPr>
            </w:pPr>
            <w:r w:rsidRPr="003A1F5D">
              <w:rPr>
                <w:rFonts w:ascii="Calibri" w:eastAsia="Calibri" w:hAnsi="Calibri" w:cs="Calibri"/>
                <w:i/>
                <w:iCs/>
                <w:szCs w:val="22"/>
              </w:rPr>
              <w:t>Consider the protection and enhancement of public rights of way and access.</w:t>
            </w:r>
          </w:p>
          <w:p w14:paraId="720C5E22" w14:textId="77777777" w:rsidR="0093382C" w:rsidRPr="003A1F5D" w:rsidRDefault="0093382C" w:rsidP="0093382C">
            <w:pPr>
              <w:jc w:val="both"/>
              <w:rPr>
                <w:rFonts w:ascii="Calibri" w:hAnsi="Calibri" w:cs="Calibri"/>
                <w:i/>
                <w:iCs/>
                <w:szCs w:val="22"/>
              </w:rPr>
            </w:pPr>
          </w:p>
          <w:p w14:paraId="5F84315D" w14:textId="77777777" w:rsidR="0093382C" w:rsidRPr="003A1F5D" w:rsidRDefault="0093382C" w:rsidP="0093382C">
            <w:pPr>
              <w:jc w:val="both"/>
              <w:rPr>
                <w:rFonts w:ascii="Calibri" w:hAnsi="Calibri" w:cs="Calibri"/>
                <w:i/>
                <w:iCs/>
                <w:szCs w:val="22"/>
              </w:rPr>
            </w:pPr>
            <w:r w:rsidRPr="003A1F5D">
              <w:rPr>
                <w:rFonts w:ascii="Calibri" w:hAnsi="Calibri" w:cs="Calibri"/>
                <w:i/>
                <w:iCs/>
                <w:szCs w:val="22"/>
              </w:rPr>
              <w:t>AMENITY</w:t>
            </w:r>
          </w:p>
          <w:p w14:paraId="6D66B617" w14:textId="77777777" w:rsidR="0093382C" w:rsidRPr="003A1F5D" w:rsidRDefault="0093382C" w:rsidP="0093382C">
            <w:pPr>
              <w:jc w:val="both"/>
              <w:rPr>
                <w:rFonts w:ascii="Calibri" w:hAnsi="Calibri" w:cs="Calibri"/>
                <w:i/>
                <w:iCs/>
                <w:szCs w:val="22"/>
              </w:rPr>
            </w:pPr>
          </w:p>
          <w:p w14:paraId="1864937C" w14:textId="77777777" w:rsidR="0093382C" w:rsidRPr="003A1F5D" w:rsidRDefault="0093382C" w:rsidP="0093382C">
            <w:pPr>
              <w:pStyle w:val="ListParagraph"/>
              <w:numPr>
                <w:ilvl w:val="0"/>
                <w:numId w:val="4"/>
              </w:numPr>
              <w:overflowPunct/>
              <w:autoSpaceDE/>
              <w:autoSpaceDN/>
              <w:adjustRightInd/>
              <w:jc w:val="both"/>
              <w:textAlignment w:val="auto"/>
              <w:rPr>
                <w:rFonts w:ascii="Calibri" w:hAnsi="Calibri" w:cs="Calibri"/>
                <w:i/>
                <w:iCs/>
                <w:szCs w:val="22"/>
              </w:rPr>
            </w:pPr>
            <w:r w:rsidRPr="003A1F5D">
              <w:rPr>
                <w:rFonts w:ascii="Calibri" w:hAnsi="Calibri" w:cs="Calibri"/>
                <w:i/>
                <w:iCs/>
                <w:szCs w:val="22"/>
              </w:rPr>
              <w:t>Not adversely affect the amenities of the surrounding area.</w:t>
            </w:r>
          </w:p>
          <w:p w14:paraId="657AAABA" w14:textId="77777777" w:rsidR="0093382C" w:rsidRPr="003A1F5D" w:rsidRDefault="0093382C" w:rsidP="0093382C">
            <w:pPr>
              <w:pStyle w:val="ListParagraph"/>
              <w:numPr>
                <w:ilvl w:val="0"/>
                <w:numId w:val="4"/>
              </w:numPr>
              <w:overflowPunct/>
              <w:autoSpaceDE/>
              <w:autoSpaceDN/>
              <w:adjustRightInd/>
              <w:jc w:val="both"/>
              <w:textAlignment w:val="auto"/>
              <w:rPr>
                <w:rFonts w:ascii="Calibri" w:hAnsi="Calibri" w:cs="Calibri"/>
                <w:i/>
                <w:iCs/>
                <w:szCs w:val="22"/>
              </w:rPr>
            </w:pPr>
            <w:r w:rsidRPr="003A1F5D">
              <w:rPr>
                <w:rFonts w:ascii="Calibri" w:hAnsi="Calibri" w:cs="Calibri"/>
                <w:i/>
                <w:iCs/>
                <w:szCs w:val="22"/>
              </w:rPr>
              <w:t>Provide adequate day lighting and privacy distances.</w:t>
            </w:r>
          </w:p>
          <w:p w14:paraId="2DF481A1" w14:textId="77777777" w:rsidR="0093382C" w:rsidRPr="003A1F5D" w:rsidRDefault="0093382C" w:rsidP="0093382C">
            <w:pPr>
              <w:pStyle w:val="ListParagraph"/>
              <w:numPr>
                <w:ilvl w:val="0"/>
                <w:numId w:val="4"/>
              </w:numPr>
              <w:overflowPunct/>
              <w:autoSpaceDE/>
              <w:autoSpaceDN/>
              <w:adjustRightInd/>
              <w:jc w:val="both"/>
              <w:textAlignment w:val="auto"/>
              <w:rPr>
                <w:rFonts w:ascii="Calibri" w:hAnsi="Calibri" w:cs="Calibri"/>
                <w:i/>
                <w:iCs/>
                <w:szCs w:val="22"/>
              </w:rPr>
            </w:pPr>
            <w:r w:rsidRPr="003A1F5D">
              <w:rPr>
                <w:rFonts w:ascii="Calibri" w:hAnsi="Calibri" w:cs="Calibri"/>
                <w:i/>
                <w:iCs/>
                <w:szCs w:val="22"/>
              </w:rPr>
              <w:t>Have regard to public safety and secured by design principles.</w:t>
            </w:r>
          </w:p>
          <w:p w14:paraId="181DD216" w14:textId="77777777" w:rsidR="0093382C" w:rsidRPr="003A1F5D" w:rsidRDefault="0093382C" w:rsidP="0093382C">
            <w:pPr>
              <w:pStyle w:val="ListParagraph"/>
              <w:numPr>
                <w:ilvl w:val="0"/>
                <w:numId w:val="4"/>
              </w:numPr>
              <w:overflowPunct/>
              <w:autoSpaceDE/>
              <w:autoSpaceDN/>
              <w:adjustRightInd/>
              <w:jc w:val="both"/>
              <w:textAlignment w:val="auto"/>
              <w:rPr>
                <w:rFonts w:ascii="Calibri" w:hAnsi="Calibri" w:cs="Calibri"/>
                <w:i/>
                <w:iCs/>
                <w:szCs w:val="22"/>
              </w:rPr>
            </w:pPr>
            <w:r w:rsidRPr="003A1F5D">
              <w:rPr>
                <w:rFonts w:ascii="Calibri" w:hAnsi="Calibri" w:cs="Calibri"/>
                <w:i/>
                <w:iCs/>
                <w:szCs w:val="22"/>
              </w:rPr>
              <w:t>Consider air quality and mitigate adverse impacts where possible.</w:t>
            </w:r>
          </w:p>
          <w:p w14:paraId="4B114C3D" w14:textId="77777777" w:rsidR="0093382C" w:rsidRPr="003A1F5D" w:rsidRDefault="0093382C" w:rsidP="0093382C">
            <w:pPr>
              <w:jc w:val="both"/>
              <w:rPr>
                <w:rFonts w:ascii="Calibri" w:hAnsi="Calibri" w:cs="Calibri"/>
                <w:i/>
                <w:iCs/>
                <w:szCs w:val="22"/>
              </w:rPr>
            </w:pPr>
          </w:p>
          <w:p w14:paraId="71A6AD7A" w14:textId="77777777" w:rsidR="0093382C" w:rsidRPr="003A1F5D" w:rsidRDefault="0093382C" w:rsidP="0093382C">
            <w:pPr>
              <w:jc w:val="both"/>
              <w:rPr>
                <w:rFonts w:ascii="Calibri" w:hAnsi="Calibri" w:cs="Calibri"/>
                <w:i/>
                <w:iCs/>
                <w:szCs w:val="22"/>
              </w:rPr>
            </w:pPr>
            <w:r w:rsidRPr="003A1F5D">
              <w:rPr>
                <w:rFonts w:ascii="Calibri" w:hAnsi="Calibri" w:cs="Calibri"/>
                <w:i/>
                <w:iCs/>
                <w:szCs w:val="22"/>
              </w:rPr>
              <w:t>ENVIRONMENT</w:t>
            </w:r>
          </w:p>
          <w:p w14:paraId="225A220D" w14:textId="77777777" w:rsidR="0093382C" w:rsidRPr="003A1F5D" w:rsidRDefault="0093382C" w:rsidP="0093382C">
            <w:pPr>
              <w:jc w:val="both"/>
              <w:rPr>
                <w:rFonts w:ascii="Calibri" w:hAnsi="Calibri" w:cs="Calibri"/>
                <w:i/>
                <w:iCs/>
                <w:szCs w:val="22"/>
              </w:rPr>
            </w:pPr>
          </w:p>
          <w:p w14:paraId="76D90298" w14:textId="77777777" w:rsidR="0093382C" w:rsidRPr="003A1F5D" w:rsidRDefault="0093382C" w:rsidP="0093382C">
            <w:pPr>
              <w:pStyle w:val="ListParagraph"/>
              <w:numPr>
                <w:ilvl w:val="0"/>
                <w:numId w:val="38"/>
              </w:numPr>
              <w:overflowPunct/>
              <w:autoSpaceDE/>
              <w:autoSpaceDN/>
              <w:adjustRightInd/>
              <w:jc w:val="both"/>
              <w:textAlignment w:val="auto"/>
              <w:rPr>
                <w:rFonts w:ascii="Calibri" w:hAnsi="Calibri" w:cs="Calibri"/>
                <w:i/>
                <w:iCs/>
                <w:szCs w:val="22"/>
              </w:rPr>
            </w:pPr>
            <w:r w:rsidRPr="003A1F5D">
              <w:rPr>
                <w:rFonts w:ascii="Calibri" w:hAnsi="Calibri" w:cs="Calibri"/>
                <w:i/>
                <w:iCs/>
                <w:szCs w:val="22"/>
              </w:rPr>
              <w:t>Consider the environmental implications such as SSSI’s, county heritage sites, local nature reserves, biodiversity action plan (bap) habitats and species, special areas of conservation and special protected areas, protected species, green corridors and other sites of nature conservation.</w:t>
            </w:r>
          </w:p>
          <w:p w14:paraId="7E45720F" w14:textId="77777777" w:rsidR="0093382C" w:rsidRPr="003A1F5D" w:rsidRDefault="0093382C" w:rsidP="0093382C">
            <w:pPr>
              <w:pStyle w:val="ListParagraph"/>
              <w:numPr>
                <w:ilvl w:val="0"/>
                <w:numId w:val="38"/>
              </w:numPr>
              <w:overflowPunct/>
              <w:autoSpaceDE/>
              <w:autoSpaceDN/>
              <w:adjustRightInd/>
              <w:jc w:val="both"/>
              <w:textAlignment w:val="auto"/>
              <w:rPr>
                <w:rFonts w:ascii="Calibri" w:hAnsi="Calibri" w:cs="Calibri"/>
                <w:i/>
                <w:iCs/>
                <w:szCs w:val="22"/>
              </w:rPr>
            </w:pPr>
            <w:r w:rsidRPr="003A1F5D">
              <w:rPr>
                <w:rFonts w:ascii="Calibri" w:hAnsi="Calibri" w:cs="Calibri"/>
                <w:i/>
                <w:iCs/>
                <w:szCs w:val="22"/>
              </w:rPr>
              <w:t>With regards to possible effects upon the natural environment, the council propose that the principles of the mitigation hierarchy be followed. this gives sequential preference to the following: 1) enhance the environment 2) avoid the impact 3) minimise the impact 4) restore the damage 5) compensate for the damage 6) offset the damage.</w:t>
            </w:r>
          </w:p>
          <w:p w14:paraId="49359891" w14:textId="77777777" w:rsidR="0093382C" w:rsidRPr="003A1F5D" w:rsidRDefault="0093382C" w:rsidP="0093382C">
            <w:pPr>
              <w:pStyle w:val="ListParagraph"/>
              <w:numPr>
                <w:ilvl w:val="0"/>
                <w:numId w:val="38"/>
              </w:numPr>
              <w:overflowPunct/>
              <w:autoSpaceDE/>
              <w:autoSpaceDN/>
              <w:adjustRightInd/>
              <w:jc w:val="both"/>
              <w:textAlignment w:val="auto"/>
              <w:rPr>
                <w:rFonts w:ascii="Calibri" w:hAnsi="Calibri" w:cs="Calibri"/>
                <w:i/>
                <w:iCs/>
                <w:szCs w:val="22"/>
              </w:rPr>
            </w:pPr>
            <w:r w:rsidRPr="003A1F5D">
              <w:rPr>
                <w:rFonts w:ascii="Calibri" w:hAnsi="Calibri" w:cs="Calibri"/>
                <w:i/>
                <w:iCs/>
                <w:szCs w:val="22"/>
              </w:rPr>
              <w:t>All development must protect and enhance heritage assets and their settings.</w:t>
            </w:r>
          </w:p>
          <w:p w14:paraId="282ADAE7" w14:textId="77777777" w:rsidR="0093382C" w:rsidRPr="003A1F5D" w:rsidRDefault="0093382C" w:rsidP="0093382C">
            <w:pPr>
              <w:pStyle w:val="ListParagraph"/>
              <w:numPr>
                <w:ilvl w:val="0"/>
                <w:numId w:val="38"/>
              </w:numPr>
              <w:overflowPunct/>
              <w:autoSpaceDE/>
              <w:autoSpaceDN/>
              <w:adjustRightInd/>
              <w:jc w:val="both"/>
              <w:textAlignment w:val="auto"/>
              <w:rPr>
                <w:rFonts w:ascii="Calibri" w:hAnsi="Calibri" w:cs="Calibri"/>
                <w:i/>
                <w:iCs/>
                <w:szCs w:val="22"/>
              </w:rPr>
            </w:pPr>
            <w:r w:rsidRPr="003A1F5D">
              <w:rPr>
                <w:rFonts w:ascii="Calibri" w:hAnsi="Calibri" w:cs="Calibri"/>
                <w:i/>
                <w:iCs/>
                <w:szCs w:val="22"/>
              </w:rPr>
              <w:t>All new development proposals will be required to take into account the risks arising from former coal mining and, where necessary, incorporate suitable mitigation measures to address them.</w:t>
            </w:r>
          </w:p>
          <w:p w14:paraId="0F1C9CCC" w14:textId="77777777" w:rsidR="0093382C" w:rsidRPr="003A1F5D" w:rsidRDefault="0093382C" w:rsidP="0093382C">
            <w:pPr>
              <w:pStyle w:val="ListParagraph"/>
              <w:numPr>
                <w:ilvl w:val="0"/>
                <w:numId w:val="38"/>
              </w:numPr>
              <w:overflowPunct/>
              <w:autoSpaceDE/>
              <w:autoSpaceDN/>
              <w:adjustRightInd/>
              <w:jc w:val="both"/>
              <w:textAlignment w:val="auto"/>
              <w:rPr>
                <w:rFonts w:ascii="Calibri" w:hAnsi="Calibri" w:cs="Calibri"/>
                <w:i/>
                <w:iCs/>
                <w:szCs w:val="22"/>
              </w:rPr>
            </w:pPr>
            <w:r w:rsidRPr="003A1F5D">
              <w:rPr>
                <w:rFonts w:ascii="Calibri" w:hAnsi="Calibri" w:cs="Calibri"/>
                <w:i/>
                <w:iCs/>
                <w:szCs w:val="22"/>
              </w:rPr>
              <w:t>Achieve efficient land use and the reuse and remediation of previously developed sites where possible. previously developed sites should always be used instead of greenfield sites where possible</w:t>
            </w:r>
          </w:p>
          <w:p w14:paraId="57B7FF85" w14:textId="77777777" w:rsidR="0093382C" w:rsidRPr="003A1F5D" w:rsidRDefault="0093382C" w:rsidP="0093382C">
            <w:pPr>
              <w:jc w:val="both"/>
              <w:rPr>
                <w:rFonts w:ascii="Calibri" w:hAnsi="Calibri" w:cs="Calibri"/>
                <w:i/>
                <w:iCs/>
                <w:szCs w:val="22"/>
              </w:rPr>
            </w:pPr>
          </w:p>
          <w:p w14:paraId="48D2811C" w14:textId="77777777" w:rsidR="0093382C" w:rsidRPr="003A1F5D" w:rsidRDefault="0093382C" w:rsidP="0093382C">
            <w:pPr>
              <w:jc w:val="both"/>
              <w:rPr>
                <w:rFonts w:ascii="Calibri" w:hAnsi="Calibri" w:cs="Calibri"/>
                <w:i/>
                <w:iCs/>
                <w:szCs w:val="22"/>
              </w:rPr>
            </w:pPr>
            <w:r w:rsidRPr="003A1F5D">
              <w:rPr>
                <w:rFonts w:ascii="Calibri" w:hAnsi="Calibri" w:cs="Calibri"/>
                <w:i/>
                <w:iCs/>
                <w:szCs w:val="22"/>
              </w:rPr>
              <w:t>INFRASTRUCTURE</w:t>
            </w:r>
          </w:p>
          <w:p w14:paraId="4EAFE94F" w14:textId="77777777" w:rsidR="0093382C" w:rsidRPr="003A1F5D" w:rsidRDefault="0093382C" w:rsidP="0093382C">
            <w:pPr>
              <w:jc w:val="both"/>
              <w:rPr>
                <w:rFonts w:ascii="Calibri" w:hAnsi="Calibri" w:cs="Calibri"/>
                <w:i/>
                <w:iCs/>
                <w:szCs w:val="22"/>
              </w:rPr>
            </w:pPr>
          </w:p>
          <w:p w14:paraId="4D96693E" w14:textId="77777777" w:rsidR="0093382C" w:rsidRPr="003A1F5D" w:rsidRDefault="0093382C" w:rsidP="0093382C">
            <w:pPr>
              <w:pStyle w:val="ListParagraph"/>
              <w:numPr>
                <w:ilvl w:val="0"/>
                <w:numId w:val="39"/>
              </w:numPr>
              <w:overflowPunct/>
              <w:autoSpaceDE/>
              <w:autoSpaceDN/>
              <w:adjustRightInd/>
              <w:jc w:val="both"/>
              <w:textAlignment w:val="auto"/>
              <w:rPr>
                <w:rFonts w:ascii="Calibri" w:hAnsi="Calibri" w:cs="Calibri"/>
                <w:i/>
                <w:iCs/>
                <w:szCs w:val="22"/>
              </w:rPr>
            </w:pPr>
            <w:r w:rsidRPr="003A1F5D">
              <w:rPr>
                <w:rFonts w:ascii="Calibri" w:hAnsi="Calibri" w:cs="Calibri"/>
                <w:i/>
                <w:iCs/>
                <w:szCs w:val="22"/>
              </w:rPr>
              <w:t>Not result in the net loss of important open space, including public and private playing fields without a robust assessment that the sites are surplus to need. in assessing this, regard must be had to the level of provision and standard of public open space in the area, the importance of playing fields and the need to protect school playing fields to meet future needs. regard will also be had to the landscape or townscape of an area and the importance the open space has on this.</w:t>
            </w:r>
          </w:p>
          <w:p w14:paraId="1E505ECB" w14:textId="77777777" w:rsidR="0093382C" w:rsidRPr="003A1F5D" w:rsidRDefault="0093382C" w:rsidP="0093382C">
            <w:pPr>
              <w:pStyle w:val="ListParagraph"/>
              <w:numPr>
                <w:ilvl w:val="0"/>
                <w:numId w:val="39"/>
              </w:numPr>
              <w:overflowPunct/>
              <w:autoSpaceDE/>
              <w:autoSpaceDN/>
              <w:adjustRightInd/>
              <w:jc w:val="both"/>
              <w:textAlignment w:val="auto"/>
              <w:rPr>
                <w:rFonts w:ascii="Calibri" w:hAnsi="Calibri" w:cs="Calibri"/>
                <w:i/>
                <w:iCs/>
                <w:szCs w:val="22"/>
              </w:rPr>
            </w:pPr>
            <w:r w:rsidRPr="003A1F5D">
              <w:rPr>
                <w:rFonts w:ascii="Calibri" w:hAnsi="Calibri" w:cs="Calibri"/>
                <w:i/>
                <w:iCs/>
                <w:szCs w:val="22"/>
              </w:rPr>
              <w:t>Have regard to the availability to key infrastructure with capacity. where key infrastructure with capacity is not available it may be necessary to phase development to allow infrastructure enhancements to take place.</w:t>
            </w:r>
          </w:p>
          <w:p w14:paraId="0C516179" w14:textId="77777777" w:rsidR="0093382C" w:rsidRPr="003A1F5D" w:rsidRDefault="0093382C" w:rsidP="0093382C">
            <w:pPr>
              <w:pStyle w:val="ListParagraph"/>
              <w:numPr>
                <w:ilvl w:val="0"/>
                <w:numId w:val="39"/>
              </w:numPr>
              <w:overflowPunct/>
              <w:autoSpaceDE/>
              <w:autoSpaceDN/>
              <w:adjustRightInd/>
              <w:jc w:val="both"/>
              <w:textAlignment w:val="auto"/>
              <w:rPr>
                <w:rFonts w:ascii="Calibri" w:hAnsi="Calibri" w:cs="Calibri"/>
                <w:i/>
                <w:iCs/>
                <w:szCs w:val="22"/>
              </w:rPr>
            </w:pPr>
            <w:r w:rsidRPr="003A1F5D">
              <w:rPr>
                <w:rFonts w:ascii="Calibri" w:hAnsi="Calibri" w:cs="Calibri"/>
                <w:i/>
                <w:iCs/>
                <w:szCs w:val="22"/>
              </w:rPr>
              <w:t>Consider the potential impact on social infrastructure provision.</w:t>
            </w:r>
          </w:p>
          <w:p w14:paraId="29151CA0" w14:textId="77777777" w:rsidR="0093382C" w:rsidRPr="003A1F5D" w:rsidRDefault="0093382C" w:rsidP="0093382C">
            <w:pPr>
              <w:pStyle w:val="ListParagraph"/>
              <w:jc w:val="both"/>
              <w:rPr>
                <w:rFonts w:ascii="Calibri" w:hAnsi="Calibri" w:cs="Calibri"/>
                <w:i/>
                <w:iCs/>
                <w:szCs w:val="22"/>
              </w:rPr>
            </w:pPr>
          </w:p>
          <w:p w14:paraId="29F7EC69" w14:textId="77777777" w:rsidR="0093382C" w:rsidRPr="003A1F5D" w:rsidRDefault="0093382C" w:rsidP="0093382C">
            <w:pPr>
              <w:jc w:val="both"/>
              <w:rPr>
                <w:rFonts w:ascii="Calibri" w:hAnsi="Calibri" w:cs="Calibri"/>
                <w:i/>
                <w:iCs/>
                <w:szCs w:val="22"/>
              </w:rPr>
            </w:pPr>
            <w:r w:rsidRPr="003A1F5D">
              <w:rPr>
                <w:rFonts w:ascii="Calibri" w:hAnsi="Calibri" w:cs="Calibri"/>
                <w:i/>
                <w:iCs/>
                <w:szCs w:val="22"/>
              </w:rPr>
              <w:t>OTHER</w:t>
            </w:r>
          </w:p>
          <w:p w14:paraId="27353A28" w14:textId="77777777" w:rsidR="0093382C" w:rsidRPr="003A1F5D" w:rsidRDefault="0093382C" w:rsidP="0093382C">
            <w:pPr>
              <w:jc w:val="both"/>
              <w:rPr>
                <w:rFonts w:ascii="Calibri" w:hAnsi="Calibri" w:cs="Calibri"/>
                <w:i/>
                <w:iCs/>
                <w:szCs w:val="22"/>
              </w:rPr>
            </w:pPr>
          </w:p>
          <w:p w14:paraId="4004EB58" w14:textId="77777777" w:rsidR="0093382C" w:rsidRPr="003A1F5D" w:rsidRDefault="0093382C" w:rsidP="0093382C">
            <w:pPr>
              <w:pStyle w:val="ListParagraph"/>
              <w:numPr>
                <w:ilvl w:val="0"/>
                <w:numId w:val="40"/>
              </w:numPr>
              <w:overflowPunct/>
              <w:autoSpaceDE/>
              <w:autoSpaceDN/>
              <w:adjustRightInd/>
              <w:jc w:val="both"/>
              <w:textAlignment w:val="auto"/>
              <w:rPr>
                <w:rFonts w:ascii="Calibri" w:hAnsi="Calibri" w:cs="Calibri"/>
                <w:i/>
                <w:iCs/>
                <w:szCs w:val="22"/>
              </w:rPr>
            </w:pPr>
            <w:r w:rsidRPr="003A1F5D">
              <w:rPr>
                <w:rFonts w:ascii="Calibri" w:hAnsi="Calibri" w:cs="Calibri"/>
                <w:i/>
                <w:iCs/>
                <w:szCs w:val="22"/>
              </w:rPr>
              <w:t>Not prejudice future development which would provide significant environmental and amenity improvements.</w:t>
            </w:r>
          </w:p>
          <w:p w14:paraId="17C56E81" w14:textId="77777777" w:rsidR="0093382C" w:rsidRDefault="0093382C" w:rsidP="0093382C">
            <w:pPr>
              <w:pStyle w:val="Header"/>
              <w:tabs>
                <w:tab w:val="clear" w:pos="4153"/>
                <w:tab w:val="clear" w:pos="8306"/>
              </w:tabs>
              <w:contextualSpacing/>
              <w:jc w:val="both"/>
              <w:rPr>
                <w:rFonts w:ascii="Calibri" w:hAnsi="Calibri"/>
                <w:bCs/>
                <w:szCs w:val="22"/>
              </w:rPr>
            </w:pPr>
          </w:p>
          <w:p w14:paraId="0C2D150C" w14:textId="77777777" w:rsidR="0093382C" w:rsidRPr="003A1F5D" w:rsidRDefault="0093382C" w:rsidP="0093382C">
            <w:pPr>
              <w:pStyle w:val="Header"/>
              <w:tabs>
                <w:tab w:val="clear" w:pos="4153"/>
                <w:tab w:val="clear" w:pos="8306"/>
              </w:tabs>
              <w:contextualSpacing/>
              <w:jc w:val="both"/>
              <w:rPr>
                <w:rFonts w:ascii="Calibri" w:hAnsi="Calibri"/>
                <w:b/>
                <w:szCs w:val="22"/>
              </w:rPr>
            </w:pPr>
            <w:r>
              <w:rPr>
                <w:rFonts w:ascii="Calibri" w:hAnsi="Calibri"/>
                <w:b/>
                <w:szCs w:val="22"/>
              </w:rPr>
              <w:t xml:space="preserve">Assessment of </w:t>
            </w:r>
            <w:r w:rsidRPr="003A1F5D">
              <w:rPr>
                <w:rFonts w:ascii="Calibri" w:hAnsi="Calibri"/>
                <w:b/>
                <w:szCs w:val="22"/>
              </w:rPr>
              <w:t>Visual Impact(s):</w:t>
            </w:r>
          </w:p>
          <w:p w14:paraId="2DC2D0FC" w14:textId="77777777" w:rsidR="005F2049" w:rsidRDefault="005F2049" w:rsidP="00C10D0A">
            <w:pPr>
              <w:pStyle w:val="Header"/>
              <w:tabs>
                <w:tab w:val="clear" w:pos="4153"/>
                <w:tab w:val="clear" w:pos="8306"/>
              </w:tabs>
              <w:contextualSpacing/>
              <w:jc w:val="both"/>
              <w:rPr>
                <w:rFonts w:ascii="Calibri" w:hAnsi="Calibri"/>
                <w:b/>
                <w:color w:val="FF0000"/>
                <w:szCs w:val="22"/>
              </w:rPr>
            </w:pPr>
          </w:p>
          <w:p w14:paraId="1478FA1C" w14:textId="2B06E761" w:rsidR="0093382C" w:rsidRPr="006D3802" w:rsidRDefault="006D3802" w:rsidP="00C10D0A">
            <w:pPr>
              <w:pStyle w:val="Header"/>
              <w:tabs>
                <w:tab w:val="clear" w:pos="4153"/>
                <w:tab w:val="clear" w:pos="8306"/>
              </w:tabs>
              <w:contextualSpacing/>
              <w:jc w:val="both"/>
              <w:rPr>
                <w:rFonts w:ascii="Calibri" w:hAnsi="Calibri"/>
                <w:bCs/>
                <w:szCs w:val="22"/>
              </w:rPr>
            </w:pPr>
            <w:r w:rsidRPr="006D3802">
              <w:rPr>
                <w:rFonts w:ascii="Calibri" w:hAnsi="Calibri"/>
                <w:bCs/>
                <w:szCs w:val="22"/>
              </w:rPr>
              <w:t>Significant negotiation has been undertaken prior to the submission of the application to seek amendments to the building which was currently under construction in deviation from the approved details pursuant to planning permission 3/2020/0977.</w:t>
            </w:r>
          </w:p>
          <w:p w14:paraId="3AFF313A" w14:textId="77777777" w:rsidR="006D3802" w:rsidRPr="006D3802" w:rsidRDefault="006D3802" w:rsidP="00C10D0A">
            <w:pPr>
              <w:pStyle w:val="Header"/>
              <w:tabs>
                <w:tab w:val="clear" w:pos="4153"/>
                <w:tab w:val="clear" w:pos="8306"/>
              </w:tabs>
              <w:contextualSpacing/>
              <w:jc w:val="both"/>
              <w:rPr>
                <w:rFonts w:ascii="Calibri" w:hAnsi="Calibri"/>
                <w:bCs/>
                <w:szCs w:val="22"/>
              </w:rPr>
            </w:pPr>
          </w:p>
          <w:p w14:paraId="6DB2EFAF" w14:textId="46721654" w:rsidR="006D3802" w:rsidRDefault="006D3802" w:rsidP="00C10D0A">
            <w:pPr>
              <w:pStyle w:val="Header"/>
              <w:tabs>
                <w:tab w:val="clear" w:pos="4153"/>
                <w:tab w:val="clear" w:pos="8306"/>
              </w:tabs>
              <w:contextualSpacing/>
              <w:jc w:val="both"/>
              <w:rPr>
                <w:rFonts w:ascii="Calibri" w:hAnsi="Calibri"/>
                <w:bCs/>
                <w:szCs w:val="22"/>
              </w:rPr>
            </w:pPr>
            <w:r w:rsidRPr="006D3802">
              <w:rPr>
                <w:rFonts w:ascii="Calibri" w:hAnsi="Calibri"/>
                <w:bCs/>
                <w:szCs w:val="22"/>
              </w:rPr>
              <w:t>The submitted details propose the facing of the upper portion of the building in composite cladding with the lower part of the building being faced in white render.  Fenestrational alterations have been secured which reduces the proportioning of the window opening at first floor on the north elevation of the building to be more visually reflective of a ‘utilitarian’ appearance in-lieu of an arrangement that would be read as being wholly domestic.</w:t>
            </w:r>
            <w:r>
              <w:rPr>
                <w:rFonts w:ascii="Calibri" w:hAnsi="Calibri"/>
                <w:bCs/>
                <w:szCs w:val="22"/>
              </w:rPr>
              <w:t xml:space="preserve">  Exposed rafter feet have been introduced on the eaves of the building with ‘false’ exposed joist detailing being included on the gable ends of the property including an exaggerated eaves overhang to provide visual depth and relief.</w:t>
            </w:r>
          </w:p>
          <w:p w14:paraId="40892718" w14:textId="77777777" w:rsidR="006D3802" w:rsidRDefault="006D3802" w:rsidP="00C10D0A">
            <w:pPr>
              <w:pStyle w:val="Header"/>
              <w:tabs>
                <w:tab w:val="clear" w:pos="4153"/>
                <w:tab w:val="clear" w:pos="8306"/>
              </w:tabs>
              <w:contextualSpacing/>
              <w:jc w:val="both"/>
              <w:rPr>
                <w:rFonts w:ascii="Calibri" w:hAnsi="Calibri"/>
                <w:bCs/>
                <w:szCs w:val="22"/>
              </w:rPr>
            </w:pPr>
          </w:p>
          <w:p w14:paraId="68BB9A86" w14:textId="2A30DA38" w:rsidR="006D3802" w:rsidRPr="006D3802" w:rsidRDefault="006D3802" w:rsidP="00C10D0A">
            <w:pPr>
              <w:pStyle w:val="Header"/>
              <w:tabs>
                <w:tab w:val="clear" w:pos="4153"/>
                <w:tab w:val="clear" w:pos="8306"/>
              </w:tabs>
              <w:contextualSpacing/>
              <w:jc w:val="both"/>
              <w:rPr>
                <w:rFonts w:ascii="Calibri" w:hAnsi="Calibri"/>
                <w:bCs/>
                <w:szCs w:val="22"/>
              </w:rPr>
            </w:pPr>
            <w:r>
              <w:rPr>
                <w:rFonts w:ascii="Calibri" w:hAnsi="Calibri"/>
                <w:bCs/>
                <w:szCs w:val="22"/>
              </w:rPr>
              <w:t>Taking into account the overall scale and external appearance of the building, and taking account of the amendments secured by negotiation, it is not considered that the proposal will be read as being an anomalous or discordant introduction, nor is it considered that the proposal will result in any significant measurable visual harm to the character and appearance of the immediate area.</w:t>
            </w:r>
          </w:p>
          <w:p w14:paraId="476C066F" w14:textId="77777777" w:rsidR="005F2049" w:rsidRDefault="005F2049" w:rsidP="00C10D0A">
            <w:pPr>
              <w:pStyle w:val="Header"/>
              <w:tabs>
                <w:tab w:val="clear" w:pos="4153"/>
                <w:tab w:val="clear" w:pos="8306"/>
              </w:tabs>
              <w:contextualSpacing/>
              <w:jc w:val="both"/>
              <w:rPr>
                <w:rFonts w:ascii="Calibri" w:hAnsi="Calibri"/>
                <w:b/>
                <w:szCs w:val="22"/>
              </w:rPr>
            </w:pPr>
          </w:p>
          <w:p w14:paraId="2728672A" w14:textId="6CD7005F" w:rsidR="005F2049" w:rsidRPr="0067062C" w:rsidRDefault="005F2049" w:rsidP="005F2049">
            <w:pPr>
              <w:pStyle w:val="Header"/>
              <w:contextualSpacing/>
              <w:jc w:val="both"/>
              <w:rPr>
                <w:rFonts w:ascii="Calibri" w:hAnsi="Calibri"/>
                <w:bCs/>
                <w:szCs w:val="22"/>
              </w:rPr>
            </w:pPr>
            <w:r w:rsidRPr="0067062C">
              <w:rPr>
                <w:rFonts w:ascii="Calibri" w:hAnsi="Calibri"/>
                <w:bCs/>
                <w:szCs w:val="22"/>
              </w:rPr>
              <w:t xml:space="preserve">As such, taking into account </w:t>
            </w:r>
            <w:r>
              <w:rPr>
                <w:rFonts w:ascii="Calibri" w:hAnsi="Calibri"/>
                <w:bCs/>
                <w:szCs w:val="22"/>
              </w:rPr>
              <w:t>of the above</w:t>
            </w:r>
            <w:r w:rsidRPr="0067062C">
              <w:rPr>
                <w:rFonts w:ascii="Calibri" w:hAnsi="Calibri"/>
                <w:bCs/>
                <w:szCs w:val="22"/>
              </w:rPr>
              <w:t>, it is not considered that the proposal will result in any direct conflict with the aims and objectives of Polic</w:t>
            </w:r>
            <w:r w:rsidR="000D7EC7">
              <w:rPr>
                <w:rFonts w:ascii="Calibri" w:hAnsi="Calibri"/>
                <w:bCs/>
                <w:szCs w:val="22"/>
              </w:rPr>
              <w:t xml:space="preserve">ies </w:t>
            </w:r>
            <w:r w:rsidR="002668F2">
              <w:rPr>
                <w:rFonts w:ascii="Calibri" w:hAnsi="Calibri"/>
                <w:bCs/>
                <w:szCs w:val="22"/>
              </w:rPr>
              <w:t>DMG1 or DMG2</w:t>
            </w:r>
            <w:r w:rsidRPr="0067062C">
              <w:rPr>
                <w:rFonts w:ascii="Calibri" w:hAnsi="Calibri"/>
                <w:bCs/>
                <w:szCs w:val="22"/>
              </w:rPr>
              <w:t xml:space="preserve"> which seek to protect against development which would be of detriment to the character or visual amenities of the area</w:t>
            </w:r>
            <w:r w:rsidR="000D7EC7">
              <w:rPr>
                <w:rFonts w:ascii="Calibri" w:hAnsi="Calibri"/>
                <w:bCs/>
                <w:szCs w:val="22"/>
              </w:rPr>
              <w:t xml:space="preserve"> or result in adverse impacts upon the character or visual amenities of the defined open countryside.</w:t>
            </w:r>
          </w:p>
          <w:p w14:paraId="1CF0DD50" w14:textId="77777777" w:rsidR="00C10D0A" w:rsidRDefault="00C10D0A" w:rsidP="00C10D0A">
            <w:pPr>
              <w:pStyle w:val="Header"/>
              <w:tabs>
                <w:tab w:val="clear" w:pos="4153"/>
                <w:tab w:val="clear" w:pos="8306"/>
              </w:tabs>
              <w:contextualSpacing/>
              <w:jc w:val="both"/>
              <w:rPr>
                <w:rFonts w:ascii="Calibri" w:hAnsi="Calibri"/>
                <w:b/>
                <w:szCs w:val="22"/>
              </w:rPr>
            </w:pPr>
          </w:p>
        </w:tc>
      </w:tr>
      <w:tr w:rsidR="005F2049" w:rsidRPr="00AF4ABF" w14:paraId="67DDEFC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44789D" w14:textId="77777777" w:rsidR="005F2049" w:rsidRDefault="005F2049" w:rsidP="005F204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05D3F847" w14:textId="17584302" w:rsidR="005F2049" w:rsidRPr="00394BC2" w:rsidRDefault="005F2049" w:rsidP="005F2049">
            <w:pPr>
              <w:pStyle w:val="Header"/>
              <w:tabs>
                <w:tab w:val="clear" w:pos="4153"/>
                <w:tab w:val="clear" w:pos="8306"/>
              </w:tabs>
              <w:contextualSpacing/>
              <w:jc w:val="both"/>
              <w:rPr>
                <w:rFonts w:ascii="Calibri" w:hAnsi="Calibri"/>
                <w:bCs/>
                <w:szCs w:val="22"/>
              </w:rPr>
            </w:pPr>
          </w:p>
          <w:p w14:paraId="2FE87C15" w14:textId="0AECFE29" w:rsidR="005F2049" w:rsidRPr="005F2049" w:rsidRDefault="00394BC2" w:rsidP="005F2049">
            <w:pPr>
              <w:pStyle w:val="Header"/>
              <w:tabs>
                <w:tab w:val="clear" w:pos="4153"/>
                <w:tab w:val="clear" w:pos="8306"/>
              </w:tabs>
              <w:contextualSpacing/>
              <w:jc w:val="both"/>
              <w:rPr>
                <w:rFonts w:ascii="Calibri" w:hAnsi="Calibri"/>
                <w:bCs/>
                <w:szCs w:val="22"/>
              </w:rPr>
            </w:pPr>
            <w:r w:rsidRPr="00394BC2">
              <w:rPr>
                <w:rFonts w:ascii="Calibri" w:hAnsi="Calibri"/>
                <w:bCs/>
                <w:szCs w:val="22"/>
              </w:rPr>
              <w:t xml:space="preserve">Whilst the concerns of the parish council and third parties are noted, and it is acknowledged that the building has been designed so that the </w:t>
            </w:r>
            <w:r w:rsidR="0098015E">
              <w:rPr>
                <w:rFonts w:ascii="Calibri" w:hAnsi="Calibri"/>
                <w:bCs/>
                <w:szCs w:val="22"/>
              </w:rPr>
              <w:t>ground floor</w:t>
            </w:r>
            <w:r w:rsidRPr="00394BC2">
              <w:rPr>
                <w:rFonts w:ascii="Calibri" w:hAnsi="Calibri"/>
                <w:bCs/>
                <w:szCs w:val="22"/>
              </w:rPr>
              <w:t xml:space="preserve"> would operate more as a garage store rather than for the parking of vehicles, the </w:t>
            </w:r>
            <w:r w:rsidR="00DF44AB">
              <w:rPr>
                <w:rFonts w:ascii="Calibri" w:hAnsi="Calibri"/>
                <w:bCs/>
                <w:szCs w:val="22"/>
              </w:rPr>
              <w:t>development is not considered to result in an unacceptable parking arrangement</w:t>
            </w:r>
            <w:r w:rsidRPr="00394BC2">
              <w:rPr>
                <w:rFonts w:ascii="Calibri" w:hAnsi="Calibri"/>
                <w:bCs/>
                <w:szCs w:val="22"/>
              </w:rPr>
              <w:t xml:space="preserve"> and t</w:t>
            </w:r>
            <w:r w:rsidR="005F2049" w:rsidRPr="00394BC2">
              <w:rPr>
                <w:rFonts w:ascii="Calibri" w:hAnsi="Calibri"/>
                <w:bCs/>
                <w:szCs w:val="22"/>
              </w:rPr>
              <w:t>he</w:t>
            </w:r>
            <w:r w:rsidR="005F2049" w:rsidRPr="005F2049">
              <w:rPr>
                <w:rFonts w:ascii="Calibri" w:hAnsi="Calibri"/>
                <w:bCs/>
                <w:szCs w:val="22"/>
              </w:rPr>
              <w:t xml:space="preserve"> Local Highways Authority have raised no objection to the proposal stating that they are of the opinion that the proposed development will not have a significant impact on highway safety, capacity or amenity in the immediate vicinity of the site.</w:t>
            </w:r>
          </w:p>
          <w:p w14:paraId="04ED05A1" w14:textId="77777777" w:rsidR="005F2049" w:rsidRDefault="005F2049" w:rsidP="005F2049">
            <w:pPr>
              <w:pStyle w:val="Header"/>
              <w:tabs>
                <w:tab w:val="clear" w:pos="4153"/>
                <w:tab w:val="clear" w:pos="8306"/>
              </w:tabs>
              <w:contextualSpacing/>
              <w:jc w:val="both"/>
              <w:rPr>
                <w:rFonts w:ascii="Calibri" w:hAnsi="Calibri"/>
                <w:b/>
                <w:szCs w:val="22"/>
              </w:rPr>
            </w:pPr>
          </w:p>
          <w:p w14:paraId="13FD965B" w14:textId="77777777" w:rsidR="005F2049" w:rsidRPr="000652F2" w:rsidRDefault="005F2049" w:rsidP="005F2049">
            <w:pPr>
              <w:pStyle w:val="Header"/>
              <w:tabs>
                <w:tab w:val="clear" w:pos="4153"/>
                <w:tab w:val="clear" w:pos="8306"/>
              </w:tabs>
              <w:contextualSpacing/>
              <w:jc w:val="both"/>
              <w:rPr>
                <w:rFonts w:ascii="Calibri" w:hAnsi="Calibri"/>
                <w:bCs/>
                <w:szCs w:val="22"/>
              </w:rPr>
            </w:pPr>
            <w:r>
              <w:rPr>
                <w:rFonts w:ascii="Calibri" w:hAnsi="Calibri"/>
                <w:bCs/>
                <w:szCs w:val="22"/>
              </w:rPr>
              <w:t>Taking account of the above</w:t>
            </w:r>
            <w:r w:rsidRPr="000652F2">
              <w:rPr>
                <w:rFonts w:ascii="Calibri" w:hAnsi="Calibri"/>
                <w:bCs/>
                <w:szCs w:val="22"/>
              </w:rPr>
              <w:t>, the proposal raises no significant measurable conflict(s) with Key Statement DMI2 or Policy DMG3 which seek to ensure the continued safe operation of the highways network and to ensure adequate pedestrian infrastructure and vehicular parking provision is brought forward to accommodate development</w:t>
            </w:r>
            <w:r>
              <w:rPr>
                <w:rFonts w:ascii="Calibri" w:hAnsi="Calibri"/>
                <w:bCs/>
                <w:szCs w:val="22"/>
              </w:rPr>
              <w:t xml:space="preserve"> proposals.</w:t>
            </w:r>
          </w:p>
          <w:p w14:paraId="2194E33A" w14:textId="77777777" w:rsidR="005F2049" w:rsidRDefault="005F2049" w:rsidP="00C10D0A">
            <w:pPr>
              <w:pStyle w:val="Header"/>
              <w:tabs>
                <w:tab w:val="clear" w:pos="4153"/>
                <w:tab w:val="clear" w:pos="8306"/>
              </w:tabs>
              <w:contextualSpacing/>
              <w:jc w:val="both"/>
              <w:rPr>
                <w:rFonts w:ascii="Calibri" w:hAnsi="Calibri"/>
                <w:b/>
                <w:szCs w:val="22"/>
              </w:rPr>
            </w:pPr>
          </w:p>
        </w:tc>
      </w:tr>
      <w:tr w:rsidR="007A625D" w:rsidRPr="00AF4ABF" w14:paraId="59E34A9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6AAF5D" w14:textId="77777777" w:rsidR="007A625D" w:rsidRDefault="007A625D" w:rsidP="005F2049">
            <w:pPr>
              <w:pStyle w:val="Header"/>
              <w:tabs>
                <w:tab w:val="clear" w:pos="4153"/>
                <w:tab w:val="clear" w:pos="8306"/>
              </w:tabs>
              <w:contextualSpacing/>
              <w:jc w:val="both"/>
              <w:rPr>
                <w:rFonts w:ascii="Calibri" w:hAnsi="Calibri"/>
                <w:b/>
                <w:szCs w:val="22"/>
              </w:rPr>
            </w:pPr>
            <w:r>
              <w:rPr>
                <w:rFonts w:ascii="Calibri" w:hAnsi="Calibri"/>
                <w:b/>
                <w:szCs w:val="22"/>
              </w:rPr>
              <w:t>Other Matters Raised:</w:t>
            </w:r>
          </w:p>
          <w:p w14:paraId="65D930BE" w14:textId="77777777" w:rsidR="007A625D" w:rsidRDefault="007A625D" w:rsidP="005F2049">
            <w:pPr>
              <w:pStyle w:val="Header"/>
              <w:tabs>
                <w:tab w:val="clear" w:pos="4153"/>
                <w:tab w:val="clear" w:pos="8306"/>
              </w:tabs>
              <w:contextualSpacing/>
              <w:jc w:val="both"/>
              <w:rPr>
                <w:rFonts w:ascii="Calibri" w:hAnsi="Calibri"/>
                <w:b/>
                <w:szCs w:val="22"/>
              </w:rPr>
            </w:pPr>
          </w:p>
          <w:p w14:paraId="3BD4C423" w14:textId="32D016CB" w:rsidR="007A625D" w:rsidRPr="00361F18" w:rsidRDefault="007A625D" w:rsidP="007A625D">
            <w:pPr>
              <w:rPr>
                <w:rFonts w:ascii="Calibri" w:hAnsi="Calibri"/>
                <w:szCs w:val="22"/>
              </w:rPr>
            </w:pPr>
            <w:r>
              <w:rPr>
                <w:rFonts w:ascii="Calibri" w:hAnsi="Calibri"/>
                <w:szCs w:val="22"/>
              </w:rPr>
              <w:t xml:space="preserve">Whilst a third party comment refers to </w:t>
            </w:r>
            <w:r w:rsidRPr="007A625D">
              <w:rPr>
                <w:rFonts w:ascii="Calibri" w:hAnsi="Calibri"/>
                <w:szCs w:val="22"/>
              </w:rPr>
              <w:t>conflict with an existing septic waste tank</w:t>
            </w:r>
            <w:r>
              <w:rPr>
                <w:rFonts w:ascii="Calibri" w:hAnsi="Calibri"/>
                <w:szCs w:val="22"/>
              </w:rPr>
              <w:t>, this is not a material planning consideration. Nor are m</w:t>
            </w:r>
            <w:r w:rsidRPr="00361F18">
              <w:rPr>
                <w:rFonts w:ascii="Calibri" w:hAnsi="Calibri"/>
                <w:szCs w:val="22"/>
              </w:rPr>
              <w:t>atters relating to an access dispute</w:t>
            </w:r>
            <w:r>
              <w:rPr>
                <w:rFonts w:ascii="Calibri" w:hAnsi="Calibri"/>
                <w:szCs w:val="22"/>
              </w:rPr>
              <w:t>.</w:t>
            </w:r>
          </w:p>
          <w:p w14:paraId="1BBDC2B5" w14:textId="089C1BB2" w:rsidR="007A625D" w:rsidRDefault="007A625D" w:rsidP="005F2049">
            <w:pPr>
              <w:pStyle w:val="Header"/>
              <w:tabs>
                <w:tab w:val="clear" w:pos="4153"/>
                <w:tab w:val="clear" w:pos="8306"/>
              </w:tabs>
              <w:contextualSpacing/>
              <w:jc w:val="both"/>
              <w:rPr>
                <w:rFonts w:ascii="Calibri" w:hAnsi="Calibri"/>
                <w:b/>
                <w:szCs w:val="22"/>
              </w:rPr>
            </w:pPr>
          </w:p>
        </w:tc>
      </w:tr>
      <w:tr w:rsidR="00AF4ABF" w:rsidRPr="00AF4ABF"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590A41">
              <w:rPr>
                <w:rFonts w:ascii="Calibri" w:hAnsi="Calibri"/>
                <w:b/>
                <w:bCs/>
                <w:szCs w:val="22"/>
              </w:rPr>
              <w:t>Observations/Consideration of Matters Raised/Conclusion:</w:t>
            </w:r>
          </w:p>
          <w:p w14:paraId="34A0B92E" w14:textId="77777777" w:rsidR="007A625D" w:rsidRDefault="007A625D" w:rsidP="00EA09F9">
            <w:pPr>
              <w:contextualSpacing/>
              <w:jc w:val="both"/>
              <w:rPr>
                <w:rFonts w:ascii="Calibri" w:hAnsi="Calibri"/>
                <w:b/>
                <w:bCs/>
                <w:szCs w:val="22"/>
              </w:rPr>
            </w:pPr>
          </w:p>
          <w:p w14:paraId="4E702D2C" w14:textId="248ED4AE" w:rsidR="009F4443" w:rsidRPr="00590A41" w:rsidRDefault="00FB02BF" w:rsidP="00DD62F6">
            <w:pPr>
              <w:pStyle w:val="Header"/>
              <w:tabs>
                <w:tab w:val="clear" w:pos="4153"/>
                <w:tab w:val="clear" w:pos="8306"/>
              </w:tabs>
              <w:contextualSpacing/>
              <w:jc w:val="both"/>
              <w:rPr>
                <w:rFonts w:ascii="Calibri" w:hAnsi="Calibri"/>
                <w:b/>
                <w:szCs w:val="22"/>
              </w:rPr>
            </w:pPr>
            <w:r w:rsidRPr="00590A41">
              <w:rPr>
                <w:rFonts w:ascii="Calibri" w:hAnsi="Calibri"/>
                <w:bCs/>
                <w:szCs w:val="22"/>
              </w:rPr>
              <w:t xml:space="preserve">As such, for the above reasons and having regard to all material considerations and matters raised that the </w:t>
            </w:r>
            <w:r w:rsidR="003F4722">
              <w:rPr>
                <w:rFonts w:ascii="Calibri" w:hAnsi="Calibri"/>
                <w:bCs/>
                <w:szCs w:val="22"/>
              </w:rPr>
              <w:t xml:space="preserve">application </w:t>
            </w:r>
            <w:r w:rsidRPr="00590A41">
              <w:rPr>
                <w:rFonts w:ascii="Calibri" w:hAnsi="Calibri"/>
                <w:bCs/>
                <w:szCs w:val="22"/>
              </w:rPr>
              <w:t>is recommended for approval.</w:t>
            </w:r>
          </w:p>
          <w:p w14:paraId="3A4BD7A7" w14:textId="073A1409" w:rsidR="002666D9" w:rsidRPr="00590A41" w:rsidRDefault="002666D9" w:rsidP="00DD62F6">
            <w:pPr>
              <w:pStyle w:val="Header"/>
              <w:tabs>
                <w:tab w:val="clear" w:pos="4153"/>
                <w:tab w:val="clear" w:pos="8306"/>
              </w:tabs>
              <w:contextualSpacing/>
              <w:jc w:val="both"/>
              <w:rPr>
                <w:rFonts w:ascii="Calibri" w:hAnsi="Calibri"/>
                <w:b/>
                <w:szCs w:val="22"/>
              </w:rPr>
            </w:pPr>
          </w:p>
        </w:tc>
      </w:tr>
      <w:tr w:rsidR="00AF4ABF" w:rsidRPr="00AF4ABF"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590A41" w:rsidRDefault="00C0704D" w:rsidP="00CD2CEF">
            <w:pPr>
              <w:rPr>
                <w:rFonts w:ascii="Calibri" w:hAnsi="Calibri"/>
                <w:b/>
                <w:bCs/>
                <w:szCs w:val="22"/>
              </w:rPr>
            </w:pPr>
            <w:r w:rsidRPr="00590A41">
              <w:rPr>
                <w:rFonts w:ascii="Calibri" w:hAnsi="Calibri"/>
                <w:b/>
                <w:szCs w:val="22"/>
              </w:rPr>
              <w:t>RECOMMENDATION</w:t>
            </w:r>
            <w:r w:rsidRPr="00590A41">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590A41" w:rsidRDefault="00C0704D" w:rsidP="00CD2CEF">
            <w:pPr>
              <w:rPr>
                <w:rFonts w:ascii="Calibri" w:hAnsi="Calibri"/>
                <w:bCs/>
                <w:szCs w:val="22"/>
              </w:rPr>
            </w:pPr>
          </w:p>
        </w:tc>
      </w:tr>
      <w:tr w:rsidR="00773A66" w:rsidRPr="00AF4ABF"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A7D5AD" w:rsidR="00773A66" w:rsidRPr="00590A41" w:rsidRDefault="00773A66" w:rsidP="00CD2CEF">
            <w:pPr>
              <w:rPr>
                <w:rFonts w:ascii="Calibri" w:hAnsi="Calibri"/>
                <w:bCs/>
                <w:szCs w:val="22"/>
              </w:rPr>
            </w:pPr>
            <w:r w:rsidRPr="00590A41">
              <w:rPr>
                <w:rFonts w:asciiTheme="minorHAnsi" w:hAnsiTheme="minorHAnsi"/>
                <w:bCs/>
                <w:szCs w:val="22"/>
              </w:rPr>
              <w:t xml:space="preserve">That </w:t>
            </w:r>
            <w:r w:rsidR="005F2049">
              <w:rPr>
                <w:rFonts w:asciiTheme="minorHAnsi" w:hAnsiTheme="minorHAnsi"/>
                <w:bCs/>
                <w:szCs w:val="22"/>
              </w:rPr>
              <w:t>planning consent</w:t>
            </w:r>
            <w:r w:rsidR="003F7EB0" w:rsidRPr="00590A41">
              <w:rPr>
                <w:rFonts w:asciiTheme="minorHAnsi" w:hAnsiTheme="minorHAnsi"/>
                <w:bCs/>
                <w:szCs w:val="22"/>
              </w:rPr>
              <w:t xml:space="preserve"> </w:t>
            </w:r>
            <w:r w:rsidR="00B41C8D" w:rsidRPr="00590A41">
              <w:rPr>
                <w:rFonts w:asciiTheme="minorHAnsi" w:hAnsiTheme="minorHAnsi"/>
                <w:bCs/>
                <w:szCs w:val="22"/>
              </w:rPr>
              <w:t xml:space="preserve">be </w:t>
            </w:r>
            <w:r w:rsidR="000E0485" w:rsidRPr="00590A41">
              <w:rPr>
                <w:rFonts w:asciiTheme="minorHAnsi" w:hAnsiTheme="minorHAnsi"/>
                <w:bCs/>
                <w:szCs w:val="22"/>
              </w:rPr>
              <w:t>granted subject to the imposition of conditions.</w:t>
            </w:r>
          </w:p>
        </w:tc>
      </w:tr>
    </w:tbl>
    <w:p w14:paraId="513FB541" w14:textId="77777777" w:rsidR="00A92C2E" w:rsidRPr="00AF4ABF" w:rsidRDefault="00A92C2E">
      <w:pPr>
        <w:rPr>
          <w:rFonts w:ascii="Calibri" w:hAnsi="Calibri"/>
          <w:color w:val="FF0000"/>
          <w:szCs w:val="22"/>
        </w:rPr>
      </w:pPr>
    </w:p>
    <w:sectPr w:rsidR="00A92C2E" w:rsidRPr="00AF4ABF"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A17F7"/>
    <w:multiLevelType w:val="hybridMultilevel"/>
    <w:tmpl w:val="0FD0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04188"/>
    <w:multiLevelType w:val="hybridMultilevel"/>
    <w:tmpl w:val="75B04A44"/>
    <w:lvl w:ilvl="0" w:tplc="7AC66F9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63DBE"/>
    <w:multiLevelType w:val="hybridMultilevel"/>
    <w:tmpl w:val="0CA4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67FA1"/>
    <w:multiLevelType w:val="hybridMultilevel"/>
    <w:tmpl w:val="2A4E5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ED1A4C"/>
    <w:multiLevelType w:val="hybridMultilevel"/>
    <w:tmpl w:val="4F90B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043CA"/>
    <w:multiLevelType w:val="hybridMultilevel"/>
    <w:tmpl w:val="A3A0B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D1766"/>
    <w:multiLevelType w:val="hybridMultilevel"/>
    <w:tmpl w:val="D0D06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35E39"/>
    <w:multiLevelType w:val="hybridMultilevel"/>
    <w:tmpl w:val="916687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E6667"/>
    <w:multiLevelType w:val="hybridMultilevel"/>
    <w:tmpl w:val="A0B010E6"/>
    <w:lvl w:ilvl="0" w:tplc="9296063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A3FAB"/>
    <w:multiLevelType w:val="hybridMultilevel"/>
    <w:tmpl w:val="9E46872A"/>
    <w:lvl w:ilvl="0" w:tplc="291C6DA0">
      <w:start w:val="1"/>
      <w:numFmt w:val="decimalZero"/>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B5BAB"/>
    <w:multiLevelType w:val="hybridMultilevel"/>
    <w:tmpl w:val="FF3C238E"/>
    <w:lvl w:ilvl="0" w:tplc="9296063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68644A"/>
    <w:multiLevelType w:val="hybridMultilevel"/>
    <w:tmpl w:val="5EB01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52774A"/>
    <w:multiLevelType w:val="hybridMultilevel"/>
    <w:tmpl w:val="5580A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895860"/>
    <w:multiLevelType w:val="hybridMultilevel"/>
    <w:tmpl w:val="65840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83688B"/>
    <w:multiLevelType w:val="hybridMultilevel"/>
    <w:tmpl w:val="C0CA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CF616F"/>
    <w:multiLevelType w:val="hybridMultilevel"/>
    <w:tmpl w:val="35B8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3B164E"/>
    <w:multiLevelType w:val="hybridMultilevel"/>
    <w:tmpl w:val="BC7EB356"/>
    <w:lvl w:ilvl="0" w:tplc="9296063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5C58C4"/>
    <w:multiLevelType w:val="hybridMultilevel"/>
    <w:tmpl w:val="1BE20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CD049C"/>
    <w:multiLevelType w:val="hybridMultilevel"/>
    <w:tmpl w:val="27EC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8C0412"/>
    <w:multiLevelType w:val="hybridMultilevel"/>
    <w:tmpl w:val="C54A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5F0CF7"/>
    <w:multiLevelType w:val="hybridMultilevel"/>
    <w:tmpl w:val="0046C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105C2B"/>
    <w:multiLevelType w:val="hybridMultilevel"/>
    <w:tmpl w:val="67301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9C6E39"/>
    <w:multiLevelType w:val="hybridMultilevel"/>
    <w:tmpl w:val="8F5C3FFA"/>
    <w:lvl w:ilvl="0" w:tplc="9296063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A66857"/>
    <w:multiLevelType w:val="hybridMultilevel"/>
    <w:tmpl w:val="37CC0D4C"/>
    <w:lvl w:ilvl="0" w:tplc="9296063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DB5002"/>
    <w:multiLevelType w:val="hybridMultilevel"/>
    <w:tmpl w:val="601A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314237"/>
    <w:multiLevelType w:val="hybridMultilevel"/>
    <w:tmpl w:val="A98E36C8"/>
    <w:lvl w:ilvl="0" w:tplc="291C6DA0">
      <w:start w:val="1"/>
      <w:numFmt w:val="decimalZero"/>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AA402F"/>
    <w:multiLevelType w:val="hybridMultilevel"/>
    <w:tmpl w:val="1FF0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B08DA"/>
    <w:multiLevelType w:val="hybridMultilevel"/>
    <w:tmpl w:val="6570DB48"/>
    <w:lvl w:ilvl="0" w:tplc="291C6DA0">
      <w:start w:val="1"/>
      <w:numFmt w:val="decimalZero"/>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8D2ED2"/>
    <w:multiLevelType w:val="hybridMultilevel"/>
    <w:tmpl w:val="EF2A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E56E56"/>
    <w:multiLevelType w:val="hybridMultilevel"/>
    <w:tmpl w:val="2E140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3F3D8D"/>
    <w:multiLevelType w:val="multilevel"/>
    <w:tmpl w:val="69AE919C"/>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61F5ADD"/>
    <w:multiLevelType w:val="hybridMultilevel"/>
    <w:tmpl w:val="ABF0A6A0"/>
    <w:lvl w:ilvl="0" w:tplc="96A4B5CA">
      <w:start w:val="1"/>
      <w:numFmt w:val="decimal"/>
      <w:lvlText w:val="%1"/>
      <w:lvlJc w:val="left"/>
      <w:pPr>
        <w:ind w:left="720" w:hanging="360"/>
      </w:pPr>
      <w:rPr>
        <w:rFonts w:asciiTheme="minorHAnsi" w:hAnsiTheme="minorHAnsi" w:cstheme="minorHAnsi" w:hint="default"/>
        <w:i/>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4279F2"/>
    <w:multiLevelType w:val="hybridMultilevel"/>
    <w:tmpl w:val="045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6C5229"/>
    <w:multiLevelType w:val="hybridMultilevel"/>
    <w:tmpl w:val="FC4EF89E"/>
    <w:lvl w:ilvl="0" w:tplc="9760CD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665F88"/>
    <w:multiLevelType w:val="hybridMultilevel"/>
    <w:tmpl w:val="7EB43C84"/>
    <w:lvl w:ilvl="0" w:tplc="291C6DA0">
      <w:start w:val="1"/>
      <w:numFmt w:val="decimalZero"/>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25905">
    <w:abstractNumId w:val="38"/>
  </w:num>
  <w:num w:numId="2" w16cid:durableId="1573781848">
    <w:abstractNumId w:val="9"/>
  </w:num>
  <w:num w:numId="3" w16cid:durableId="1015419233">
    <w:abstractNumId w:val="36"/>
  </w:num>
  <w:num w:numId="4" w16cid:durableId="1999267513">
    <w:abstractNumId w:val="19"/>
  </w:num>
  <w:num w:numId="5" w16cid:durableId="1666664353">
    <w:abstractNumId w:val="14"/>
  </w:num>
  <w:num w:numId="6" w16cid:durableId="1127435632">
    <w:abstractNumId w:val="35"/>
  </w:num>
  <w:num w:numId="7" w16cid:durableId="653022212">
    <w:abstractNumId w:val="23"/>
  </w:num>
  <w:num w:numId="8" w16cid:durableId="1876768117">
    <w:abstractNumId w:val="21"/>
  </w:num>
  <w:num w:numId="9" w16cid:durableId="1745637641">
    <w:abstractNumId w:val="22"/>
  </w:num>
  <w:num w:numId="10" w16cid:durableId="1908762735">
    <w:abstractNumId w:val="16"/>
  </w:num>
  <w:num w:numId="11" w16cid:durableId="1067647930">
    <w:abstractNumId w:val="7"/>
  </w:num>
  <w:num w:numId="12" w16cid:durableId="1836601465">
    <w:abstractNumId w:val="31"/>
  </w:num>
  <w:num w:numId="13" w16cid:durableId="1666202717">
    <w:abstractNumId w:val="0"/>
  </w:num>
  <w:num w:numId="14" w16cid:durableId="139201204">
    <w:abstractNumId w:val="15"/>
  </w:num>
  <w:num w:numId="15" w16cid:durableId="1241020497">
    <w:abstractNumId w:val="5"/>
  </w:num>
  <w:num w:numId="16" w16cid:durableId="1633512680">
    <w:abstractNumId w:val="17"/>
  </w:num>
  <w:num w:numId="17" w16cid:durableId="1947812948">
    <w:abstractNumId w:val="6"/>
  </w:num>
  <w:num w:numId="18" w16cid:durableId="1631932183">
    <w:abstractNumId w:val="29"/>
  </w:num>
  <w:num w:numId="19" w16cid:durableId="1706370389">
    <w:abstractNumId w:val="27"/>
  </w:num>
  <w:num w:numId="20" w16cid:durableId="1105226319">
    <w:abstractNumId w:val="8"/>
  </w:num>
  <w:num w:numId="21" w16cid:durableId="1713577877">
    <w:abstractNumId w:val="26"/>
  </w:num>
  <w:num w:numId="22" w16cid:durableId="2141916075">
    <w:abstractNumId w:val="18"/>
  </w:num>
  <w:num w:numId="23" w16cid:durableId="1001012049">
    <w:abstractNumId w:val="25"/>
  </w:num>
  <w:num w:numId="24" w16cid:durableId="1711805555">
    <w:abstractNumId w:val="11"/>
  </w:num>
  <w:num w:numId="25" w16cid:durableId="1629360484">
    <w:abstractNumId w:val="28"/>
  </w:num>
  <w:num w:numId="26" w16cid:durableId="949898107">
    <w:abstractNumId w:val="30"/>
  </w:num>
  <w:num w:numId="27" w16cid:durableId="882640756">
    <w:abstractNumId w:val="10"/>
  </w:num>
  <w:num w:numId="28" w16cid:durableId="1428034797">
    <w:abstractNumId w:val="39"/>
  </w:num>
  <w:num w:numId="29" w16cid:durableId="743382674">
    <w:abstractNumId w:val="2"/>
  </w:num>
  <w:num w:numId="30" w16cid:durableId="917907497">
    <w:abstractNumId w:val="32"/>
  </w:num>
  <w:num w:numId="31" w16cid:durableId="2047563979">
    <w:abstractNumId w:val="1"/>
  </w:num>
  <w:num w:numId="32" w16cid:durableId="483663238">
    <w:abstractNumId w:val="37"/>
  </w:num>
  <w:num w:numId="33" w16cid:durableId="1744375960">
    <w:abstractNumId w:val="34"/>
  </w:num>
  <w:num w:numId="34" w16cid:durableId="1256935050">
    <w:abstractNumId w:val="24"/>
  </w:num>
  <w:num w:numId="35" w16cid:durableId="451217435">
    <w:abstractNumId w:val="4"/>
  </w:num>
  <w:num w:numId="36" w16cid:durableId="304549362">
    <w:abstractNumId w:val="12"/>
  </w:num>
  <w:num w:numId="37" w16cid:durableId="753091207">
    <w:abstractNumId w:val="3"/>
  </w:num>
  <w:num w:numId="38" w16cid:durableId="849640436">
    <w:abstractNumId w:val="33"/>
  </w:num>
  <w:num w:numId="39" w16cid:durableId="323628216">
    <w:abstractNumId w:val="20"/>
  </w:num>
  <w:num w:numId="40" w16cid:durableId="10419007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3BA"/>
    <w:rsid w:val="00035B95"/>
    <w:rsid w:val="00042A70"/>
    <w:rsid w:val="000748C5"/>
    <w:rsid w:val="0008057E"/>
    <w:rsid w:val="00091F74"/>
    <w:rsid w:val="000A195E"/>
    <w:rsid w:val="000A6634"/>
    <w:rsid w:val="000B5CB5"/>
    <w:rsid w:val="000D7EC7"/>
    <w:rsid w:val="000E0485"/>
    <w:rsid w:val="00130035"/>
    <w:rsid w:val="00130BA7"/>
    <w:rsid w:val="001370D6"/>
    <w:rsid w:val="00142955"/>
    <w:rsid w:val="0015494A"/>
    <w:rsid w:val="00184976"/>
    <w:rsid w:val="0019713D"/>
    <w:rsid w:val="00197F41"/>
    <w:rsid w:val="001B3810"/>
    <w:rsid w:val="001C3CC8"/>
    <w:rsid w:val="001D4F7A"/>
    <w:rsid w:val="001E2D62"/>
    <w:rsid w:val="001F5680"/>
    <w:rsid w:val="00230C50"/>
    <w:rsid w:val="0023182C"/>
    <w:rsid w:val="00235D47"/>
    <w:rsid w:val="00246992"/>
    <w:rsid w:val="00250879"/>
    <w:rsid w:val="00252483"/>
    <w:rsid w:val="00261575"/>
    <w:rsid w:val="002634AE"/>
    <w:rsid w:val="002666D9"/>
    <w:rsid w:val="002668F2"/>
    <w:rsid w:val="002743DC"/>
    <w:rsid w:val="00280CAB"/>
    <w:rsid w:val="00282E3A"/>
    <w:rsid w:val="00287B4C"/>
    <w:rsid w:val="0029334A"/>
    <w:rsid w:val="00293CDB"/>
    <w:rsid w:val="002954E5"/>
    <w:rsid w:val="002A01CF"/>
    <w:rsid w:val="002A4C36"/>
    <w:rsid w:val="002C1555"/>
    <w:rsid w:val="002C6277"/>
    <w:rsid w:val="002F2580"/>
    <w:rsid w:val="00321B6E"/>
    <w:rsid w:val="00324056"/>
    <w:rsid w:val="003608F6"/>
    <w:rsid w:val="00361F18"/>
    <w:rsid w:val="00394BC2"/>
    <w:rsid w:val="003B251A"/>
    <w:rsid w:val="003B4418"/>
    <w:rsid w:val="003E4F9F"/>
    <w:rsid w:val="003F4722"/>
    <w:rsid w:val="003F787C"/>
    <w:rsid w:val="003F7EB0"/>
    <w:rsid w:val="004156E0"/>
    <w:rsid w:val="00423DFB"/>
    <w:rsid w:val="00432C5F"/>
    <w:rsid w:val="00440CB6"/>
    <w:rsid w:val="004425D2"/>
    <w:rsid w:val="00464745"/>
    <w:rsid w:val="0046548C"/>
    <w:rsid w:val="004947BB"/>
    <w:rsid w:val="00497255"/>
    <w:rsid w:val="00497407"/>
    <w:rsid w:val="004A2CB4"/>
    <w:rsid w:val="004A5EA9"/>
    <w:rsid w:val="004C11F5"/>
    <w:rsid w:val="004C14EF"/>
    <w:rsid w:val="004C2434"/>
    <w:rsid w:val="004C37A8"/>
    <w:rsid w:val="004C3801"/>
    <w:rsid w:val="004D0777"/>
    <w:rsid w:val="004E39B8"/>
    <w:rsid w:val="004F0649"/>
    <w:rsid w:val="004F6ED1"/>
    <w:rsid w:val="005006CE"/>
    <w:rsid w:val="00510FA2"/>
    <w:rsid w:val="0051621E"/>
    <w:rsid w:val="00516978"/>
    <w:rsid w:val="00556ECD"/>
    <w:rsid w:val="00580869"/>
    <w:rsid w:val="005822FE"/>
    <w:rsid w:val="00590A41"/>
    <w:rsid w:val="0059127F"/>
    <w:rsid w:val="005A4E30"/>
    <w:rsid w:val="005B103D"/>
    <w:rsid w:val="005B31B6"/>
    <w:rsid w:val="005C2CD0"/>
    <w:rsid w:val="005C736D"/>
    <w:rsid w:val="005E1C6C"/>
    <w:rsid w:val="005E4ECC"/>
    <w:rsid w:val="005E65DF"/>
    <w:rsid w:val="005F0078"/>
    <w:rsid w:val="005F2049"/>
    <w:rsid w:val="00612AB3"/>
    <w:rsid w:val="00623A50"/>
    <w:rsid w:val="00632038"/>
    <w:rsid w:val="00633BCB"/>
    <w:rsid w:val="006429CF"/>
    <w:rsid w:val="006440F6"/>
    <w:rsid w:val="0065649D"/>
    <w:rsid w:val="006617C9"/>
    <w:rsid w:val="00692B60"/>
    <w:rsid w:val="0069545C"/>
    <w:rsid w:val="00697E1E"/>
    <w:rsid w:val="006A262A"/>
    <w:rsid w:val="006A71AD"/>
    <w:rsid w:val="006B250D"/>
    <w:rsid w:val="006B305E"/>
    <w:rsid w:val="006C2BFA"/>
    <w:rsid w:val="006D3802"/>
    <w:rsid w:val="006E0BC9"/>
    <w:rsid w:val="006E4B46"/>
    <w:rsid w:val="006E6A59"/>
    <w:rsid w:val="006F6849"/>
    <w:rsid w:val="0070054B"/>
    <w:rsid w:val="00725AE2"/>
    <w:rsid w:val="00733BB5"/>
    <w:rsid w:val="00761D2C"/>
    <w:rsid w:val="00773A66"/>
    <w:rsid w:val="007753C9"/>
    <w:rsid w:val="00776AE2"/>
    <w:rsid w:val="00794673"/>
    <w:rsid w:val="007A625D"/>
    <w:rsid w:val="007B47C1"/>
    <w:rsid w:val="007C72B5"/>
    <w:rsid w:val="007C791C"/>
    <w:rsid w:val="007D48AF"/>
    <w:rsid w:val="007D4BCC"/>
    <w:rsid w:val="007D7DF4"/>
    <w:rsid w:val="007E0D23"/>
    <w:rsid w:val="007E2840"/>
    <w:rsid w:val="007F16D6"/>
    <w:rsid w:val="007F51A6"/>
    <w:rsid w:val="00803459"/>
    <w:rsid w:val="00811771"/>
    <w:rsid w:val="00814CFF"/>
    <w:rsid w:val="00824DB6"/>
    <w:rsid w:val="00831BCB"/>
    <w:rsid w:val="00837F4F"/>
    <w:rsid w:val="00845298"/>
    <w:rsid w:val="0084717F"/>
    <w:rsid w:val="008542DE"/>
    <w:rsid w:val="00862142"/>
    <w:rsid w:val="00865641"/>
    <w:rsid w:val="00891CCD"/>
    <w:rsid w:val="008A28C8"/>
    <w:rsid w:val="008B0558"/>
    <w:rsid w:val="008D1922"/>
    <w:rsid w:val="008D4AA7"/>
    <w:rsid w:val="008E51E7"/>
    <w:rsid w:val="008F30D9"/>
    <w:rsid w:val="00905FD9"/>
    <w:rsid w:val="009112F5"/>
    <w:rsid w:val="0093382C"/>
    <w:rsid w:val="00952822"/>
    <w:rsid w:val="00973BFC"/>
    <w:rsid w:val="0098015E"/>
    <w:rsid w:val="009A61F7"/>
    <w:rsid w:val="009B3BC6"/>
    <w:rsid w:val="009C07B1"/>
    <w:rsid w:val="009D3C91"/>
    <w:rsid w:val="009D69F1"/>
    <w:rsid w:val="009F380B"/>
    <w:rsid w:val="009F4443"/>
    <w:rsid w:val="00A03086"/>
    <w:rsid w:val="00A17F59"/>
    <w:rsid w:val="00A3125E"/>
    <w:rsid w:val="00A42E82"/>
    <w:rsid w:val="00A579BB"/>
    <w:rsid w:val="00A63D55"/>
    <w:rsid w:val="00A919A6"/>
    <w:rsid w:val="00A92C2E"/>
    <w:rsid w:val="00A95D89"/>
    <w:rsid w:val="00AA30DF"/>
    <w:rsid w:val="00AA5464"/>
    <w:rsid w:val="00AB153D"/>
    <w:rsid w:val="00AB3BFA"/>
    <w:rsid w:val="00AB6FCE"/>
    <w:rsid w:val="00AD49BF"/>
    <w:rsid w:val="00AD4FAA"/>
    <w:rsid w:val="00AE57FD"/>
    <w:rsid w:val="00AF24C2"/>
    <w:rsid w:val="00AF26A7"/>
    <w:rsid w:val="00AF4ABF"/>
    <w:rsid w:val="00B23CFE"/>
    <w:rsid w:val="00B35B47"/>
    <w:rsid w:val="00B41C8D"/>
    <w:rsid w:val="00B43F2A"/>
    <w:rsid w:val="00B459EF"/>
    <w:rsid w:val="00B647B4"/>
    <w:rsid w:val="00B90A1A"/>
    <w:rsid w:val="00B93EB5"/>
    <w:rsid w:val="00BA27F4"/>
    <w:rsid w:val="00BB1EB6"/>
    <w:rsid w:val="00BB33CF"/>
    <w:rsid w:val="00BB4772"/>
    <w:rsid w:val="00BC7B9B"/>
    <w:rsid w:val="00BD3F03"/>
    <w:rsid w:val="00BF6F5D"/>
    <w:rsid w:val="00BF77A9"/>
    <w:rsid w:val="00C0704D"/>
    <w:rsid w:val="00C10D0A"/>
    <w:rsid w:val="00C25722"/>
    <w:rsid w:val="00C53AF6"/>
    <w:rsid w:val="00C618DB"/>
    <w:rsid w:val="00C76525"/>
    <w:rsid w:val="00C80B9D"/>
    <w:rsid w:val="00C81751"/>
    <w:rsid w:val="00C94278"/>
    <w:rsid w:val="00CA7986"/>
    <w:rsid w:val="00CB0895"/>
    <w:rsid w:val="00CB109E"/>
    <w:rsid w:val="00CD54E5"/>
    <w:rsid w:val="00CF2162"/>
    <w:rsid w:val="00D11007"/>
    <w:rsid w:val="00D17EB1"/>
    <w:rsid w:val="00D23499"/>
    <w:rsid w:val="00D2449B"/>
    <w:rsid w:val="00D536F5"/>
    <w:rsid w:val="00D54E67"/>
    <w:rsid w:val="00D5593A"/>
    <w:rsid w:val="00D655BD"/>
    <w:rsid w:val="00D75039"/>
    <w:rsid w:val="00D76E8A"/>
    <w:rsid w:val="00D84147"/>
    <w:rsid w:val="00DC4629"/>
    <w:rsid w:val="00DC67DA"/>
    <w:rsid w:val="00DD3EA9"/>
    <w:rsid w:val="00DD5001"/>
    <w:rsid w:val="00DD5B2B"/>
    <w:rsid w:val="00DD62F6"/>
    <w:rsid w:val="00DE2411"/>
    <w:rsid w:val="00DF44AB"/>
    <w:rsid w:val="00E02184"/>
    <w:rsid w:val="00E06A23"/>
    <w:rsid w:val="00E25528"/>
    <w:rsid w:val="00E32160"/>
    <w:rsid w:val="00E46243"/>
    <w:rsid w:val="00E51437"/>
    <w:rsid w:val="00E66534"/>
    <w:rsid w:val="00E72F6C"/>
    <w:rsid w:val="00E74CA6"/>
    <w:rsid w:val="00E750A6"/>
    <w:rsid w:val="00E8703C"/>
    <w:rsid w:val="00EA09F9"/>
    <w:rsid w:val="00EA6C75"/>
    <w:rsid w:val="00EC23C7"/>
    <w:rsid w:val="00ED00B7"/>
    <w:rsid w:val="00ED6009"/>
    <w:rsid w:val="00EE5131"/>
    <w:rsid w:val="00EF44E6"/>
    <w:rsid w:val="00F056A7"/>
    <w:rsid w:val="00F14E3D"/>
    <w:rsid w:val="00F15EBF"/>
    <w:rsid w:val="00F34757"/>
    <w:rsid w:val="00F42946"/>
    <w:rsid w:val="00F61C4C"/>
    <w:rsid w:val="00F7690D"/>
    <w:rsid w:val="00FB02BF"/>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7F4"/>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423D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80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2016-01-04T13:03:00Z</cp:lastPrinted>
  <dcterms:created xsi:type="dcterms:W3CDTF">2024-11-26T13:14:00Z</dcterms:created>
  <dcterms:modified xsi:type="dcterms:W3CDTF">2024-11-26T13:14:00Z</dcterms:modified>
</cp:coreProperties>
</file>