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75"/>
      </w:tblGrid>
      <w:tr w:rsidR="004A5EA9" w:rsidRPr="00D2449B" w14:paraId="230E00AF"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AA503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77285E23" w:rsidR="00B1590F" w:rsidRPr="00D2449B" w:rsidRDefault="00A364EF" w:rsidP="00D2449B">
            <w:pPr>
              <w:jc w:val="center"/>
              <w:rPr>
                <w:rFonts w:ascii="Calibri" w:hAnsi="Calibri"/>
                <w:b/>
                <w:szCs w:val="22"/>
              </w:rPr>
            </w:pPr>
            <w:r>
              <w:rPr>
                <w:rFonts w:ascii="Calibri" w:hAnsi="Calibri"/>
                <w:b/>
                <w:szCs w:val="22"/>
              </w:rPr>
              <w:t>MC</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4BB7154" w:rsidR="00B1590F" w:rsidRPr="00D2449B" w:rsidRDefault="00A364EF" w:rsidP="00D2449B">
            <w:pPr>
              <w:jc w:val="center"/>
              <w:rPr>
                <w:rFonts w:ascii="Calibri" w:hAnsi="Calibri"/>
                <w:b/>
                <w:szCs w:val="22"/>
              </w:rPr>
            </w:pPr>
            <w:r>
              <w:rPr>
                <w:rFonts w:ascii="Calibri" w:hAnsi="Calibri"/>
                <w:b/>
                <w:szCs w:val="22"/>
              </w:rPr>
              <w:t>19/12/2024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25AD9981" w:rsidR="00B1590F" w:rsidRPr="00D2449B" w:rsidRDefault="00E3388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0653E9B6" w:rsidR="00B1590F" w:rsidRPr="00D2449B" w:rsidRDefault="00763A10" w:rsidP="00D2449B">
            <w:pPr>
              <w:jc w:val="center"/>
              <w:rPr>
                <w:rFonts w:ascii="Calibri" w:hAnsi="Calibri"/>
                <w:b/>
                <w:szCs w:val="22"/>
              </w:rPr>
            </w:pPr>
            <w:r>
              <w:rPr>
                <w:rFonts w:ascii="Calibri" w:hAnsi="Calibri"/>
                <w:b/>
                <w:szCs w:val="22"/>
              </w:rPr>
              <w:t>23/12/24</w:t>
            </w:r>
          </w:p>
        </w:tc>
      </w:tr>
      <w:tr w:rsidR="004A5EA9" w:rsidRPr="00D2449B" w14:paraId="2094A164" w14:textId="77777777" w:rsidTr="00AA5035">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A50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264C280" w:rsidR="004A5EA9" w:rsidRPr="00250879" w:rsidRDefault="001118B4" w:rsidP="008542DE">
            <w:pPr>
              <w:rPr>
                <w:rFonts w:ascii="Calibri" w:hAnsi="Calibri"/>
                <w:color w:val="548DD4" w:themeColor="text2" w:themeTint="99"/>
                <w:szCs w:val="22"/>
              </w:rPr>
            </w:pPr>
            <w:r>
              <w:rPr>
                <w:rFonts w:ascii="Calibri" w:hAnsi="Calibri"/>
                <w:szCs w:val="22"/>
              </w:rPr>
              <w:t>3/2024/0849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AA50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14C0A39E" w:rsidR="00CA7A7E" w:rsidRPr="00500FBD" w:rsidRDefault="00A364EF" w:rsidP="002C6277">
            <w:pPr>
              <w:rPr>
                <w:rFonts w:ascii="Calibri" w:hAnsi="Calibri"/>
                <w:szCs w:val="22"/>
                <w:highlight w:val="yellow"/>
              </w:rPr>
            </w:pPr>
            <w:r w:rsidRPr="00A364EF">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65D727C0" w:rsidR="00CA7A7E" w:rsidRPr="00CA7A7E" w:rsidRDefault="00CA7A7E" w:rsidP="002C6277">
            <w:pPr>
              <w:rPr>
                <w:rFonts w:ascii="Calibri" w:hAnsi="Calibri"/>
                <w:b/>
                <w:bCs/>
                <w:szCs w:val="22"/>
              </w:rPr>
            </w:pPr>
            <w:r w:rsidRPr="00CA7A7E">
              <w:rPr>
                <w:rFonts w:ascii="Calibri" w:hAnsi="Calibri"/>
                <w:b/>
                <w:bCs/>
                <w:szCs w:val="22"/>
              </w:rPr>
              <w:t>Site Notice</w:t>
            </w:r>
            <w:r w:rsidR="00B1069E">
              <w:rPr>
                <w:rFonts w:ascii="Calibri" w:hAnsi="Calibri"/>
                <w:b/>
                <w:bCs/>
                <w:szCs w:val="22"/>
              </w:rPr>
              <w:t xml:space="preserve"> </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AAAEE0D" w:rsidR="00CA7A7E" w:rsidRPr="00C0704D" w:rsidRDefault="00F35EC4" w:rsidP="002C6277">
            <w:pPr>
              <w:rPr>
                <w:rFonts w:ascii="Calibri" w:hAnsi="Calibri"/>
                <w:szCs w:val="22"/>
              </w:rPr>
            </w:pPr>
            <w:r>
              <w:rPr>
                <w:rFonts w:ascii="Calibri" w:hAnsi="Calibri"/>
                <w:szCs w:val="22"/>
              </w:rPr>
              <w:t>12/11/24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AA503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8784F11" w:rsidR="004A5EA9" w:rsidRPr="00250879" w:rsidRDefault="00500FBD" w:rsidP="00811771">
            <w:pPr>
              <w:rPr>
                <w:rFonts w:ascii="Calibri" w:hAnsi="Calibri"/>
                <w:color w:val="548DD4" w:themeColor="text2" w:themeTint="99"/>
                <w:szCs w:val="22"/>
              </w:rPr>
            </w:pPr>
            <w:r w:rsidRPr="00500FBD">
              <w:rPr>
                <w:rFonts w:ascii="Calibri" w:hAnsi="Calibri"/>
                <w:szCs w:val="22"/>
              </w:rPr>
              <w:t>MC</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A5035">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C50791D" w:rsidR="004A5EA9" w:rsidRPr="00D2449B" w:rsidRDefault="00A364EF" w:rsidP="002A01CF">
            <w:pPr>
              <w:jc w:val="center"/>
              <w:rPr>
                <w:rFonts w:ascii="Calibri" w:hAnsi="Calibri"/>
                <w:b/>
                <w:szCs w:val="22"/>
              </w:rPr>
            </w:pPr>
            <w:r>
              <w:rPr>
                <w:rFonts w:ascii="Calibri" w:hAnsi="Calibri"/>
                <w:b/>
                <w:szCs w:val="22"/>
              </w:rPr>
              <w:t>APPROVAL</w:t>
            </w:r>
          </w:p>
        </w:tc>
      </w:tr>
      <w:tr w:rsidR="004A5EA9" w:rsidRPr="00D2449B" w14:paraId="7813B96A" w14:textId="77777777" w:rsidTr="00AA503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A50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2BAECB7" w:rsidR="004A5EA9" w:rsidRPr="002C6277" w:rsidRDefault="001118B4">
            <w:pPr>
              <w:rPr>
                <w:rFonts w:ascii="Calibri" w:hAnsi="Calibri"/>
                <w:szCs w:val="22"/>
              </w:rPr>
            </w:pPr>
            <w:r w:rsidRPr="001118B4">
              <w:rPr>
                <w:rFonts w:ascii="Calibri" w:hAnsi="Calibri"/>
                <w:szCs w:val="22"/>
              </w:rPr>
              <w:t>Listed Building Consent for refurbishment of the WC and shower rooms in the eastern part of the Shireburn Quad and the adjoining service building, to include the removal of existing and insertion of new partition walls.</w:t>
            </w:r>
          </w:p>
        </w:tc>
      </w:tr>
      <w:tr w:rsidR="002A01CF" w:rsidRPr="00D2449B" w14:paraId="52988241" w14:textId="77777777" w:rsidTr="00AA50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8701F1A" w:rsidR="002A01CF" w:rsidRPr="002C6277" w:rsidRDefault="001118B4" w:rsidP="00A42E82">
            <w:pPr>
              <w:rPr>
                <w:rFonts w:ascii="Calibri" w:hAnsi="Calibri"/>
                <w:szCs w:val="22"/>
              </w:rPr>
            </w:pPr>
            <w:r w:rsidRPr="001118B4">
              <w:rPr>
                <w:rFonts w:ascii="Calibri" w:hAnsi="Calibri"/>
                <w:szCs w:val="22"/>
              </w:rPr>
              <w:t>Stonyhurst College Avenue Road Hurst Green Clitheroe BB7 9PZ</w:t>
            </w:r>
          </w:p>
        </w:tc>
      </w:tr>
      <w:tr w:rsidR="00A95D89" w:rsidRPr="00D2449B" w14:paraId="3FB99B2E" w14:textId="77777777" w:rsidTr="00AA503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A50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1924330" w:rsidR="002A01CF" w:rsidRPr="0097239E" w:rsidRDefault="00D6206F">
            <w:pPr>
              <w:rPr>
                <w:rFonts w:ascii="Calibri" w:hAnsi="Calibri"/>
                <w:bCs/>
                <w:szCs w:val="22"/>
              </w:rPr>
            </w:pPr>
            <w:r>
              <w:rPr>
                <w:rFonts w:ascii="Calibri" w:hAnsi="Calibri"/>
                <w:bCs/>
                <w:szCs w:val="22"/>
              </w:rPr>
              <w:t>No objection.</w:t>
            </w:r>
          </w:p>
        </w:tc>
      </w:tr>
      <w:tr w:rsidR="00C618DB" w:rsidRPr="00D2449B" w14:paraId="639E958B" w14:textId="77777777" w:rsidTr="00AA503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A50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A50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48D8CABA" w:rsidR="002A01CF" w:rsidRPr="00A364EF" w:rsidRDefault="00F35EC4">
            <w:pPr>
              <w:rPr>
                <w:rFonts w:ascii="Calibri" w:hAnsi="Calibri"/>
                <w:b/>
                <w:szCs w:val="22"/>
              </w:rPr>
            </w:pPr>
            <w:r w:rsidRPr="00A364EF">
              <w:rPr>
                <w:rFonts w:ascii="Calibri" w:hAnsi="Calibri"/>
                <w:b/>
                <w:szCs w:val="22"/>
              </w:rPr>
              <w:t>Growth Lancashire</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54E5262" w:rsidR="002A01CF" w:rsidRPr="00A364EF" w:rsidRDefault="00A364EF" w:rsidP="00A364EF">
            <w:pPr>
              <w:rPr>
                <w:rFonts w:ascii="Calibri" w:hAnsi="Calibri"/>
                <w:bCs/>
                <w:szCs w:val="22"/>
              </w:rPr>
            </w:pPr>
            <w:r w:rsidRPr="00A364EF">
              <w:rPr>
                <w:rFonts w:ascii="Calibri" w:hAnsi="Calibri"/>
                <w:bCs/>
                <w:szCs w:val="22"/>
              </w:rPr>
              <w:t>No objection - the proposed development comprising refurbishment of existing C20 bathrooms will cause no discernible harm to the listed building, as it will not involve removal of any historic fabric or alter the building in such a way that would affect its character.</w:t>
            </w:r>
          </w:p>
        </w:tc>
      </w:tr>
      <w:tr w:rsidR="00C0704D" w:rsidRPr="00D2449B" w14:paraId="62663AAF"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403EA63B" w:rsidR="00C0704D" w:rsidRPr="00C0704D" w:rsidRDefault="00C0704D" w:rsidP="00D74711">
            <w:pPr>
              <w:rPr>
                <w:rFonts w:ascii="Calibri" w:hAnsi="Calibri"/>
                <w:szCs w:val="22"/>
              </w:rPr>
            </w:pPr>
          </w:p>
        </w:tc>
      </w:tr>
      <w:tr w:rsidR="00C0704D" w:rsidRPr="00D2449B" w14:paraId="29EBDA1F" w14:textId="77777777" w:rsidTr="00AA503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C84EF7D" w:rsidR="00C51074" w:rsidRPr="00C0704D" w:rsidRDefault="00A364EF" w:rsidP="00500FBD">
            <w:pPr>
              <w:rPr>
                <w:rFonts w:ascii="Calibri" w:hAnsi="Calibri"/>
                <w:szCs w:val="22"/>
              </w:rPr>
            </w:pPr>
            <w:r>
              <w:rPr>
                <w:rFonts w:ascii="Calibri" w:hAnsi="Calibri"/>
                <w:szCs w:val="22"/>
              </w:rPr>
              <w:t>No additional representations received.</w:t>
            </w:r>
          </w:p>
        </w:tc>
      </w:tr>
      <w:tr w:rsidR="00C0704D" w:rsidRPr="00D2449B" w14:paraId="1CDFA4C3" w14:textId="77777777" w:rsidTr="00AA503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E3D3133" w14:textId="77777777" w:rsidR="00500FBD" w:rsidRPr="00C618DB" w:rsidRDefault="00500FBD" w:rsidP="00500FBD">
            <w:pPr>
              <w:pStyle w:val="PLANNING"/>
              <w:rPr>
                <w:rFonts w:ascii="Calibri" w:hAnsi="Calibri"/>
                <w:szCs w:val="22"/>
              </w:rPr>
            </w:pPr>
            <w:r w:rsidRPr="00C618DB">
              <w:rPr>
                <w:rFonts w:ascii="Calibri" w:hAnsi="Calibri"/>
                <w:szCs w:val="22"/>
              </w:rPr>
              <w:t>Key Statement DS1 – Development Strategy</w:t>
            </w:r>
          </w:p>
          <w:p w14:paraId="4C95424D" w14:textId="77777777" w:rsidR="00500FBD" w:rsidRDefault="00500FBD" w:rsidP="00500FBD">
            <w:pPr>
              <w:pStyle w:val="PLANNING"/>
              <w:rPr>
                <w:rFonts w:ascii="Calibri" w:hAnsi="Calibri"/>
                <w:szCs w:val="22"/>
              </w:rPr>
            </w:pPr>
            <w:r w:rsidRPr="00C618DB">
              <w:rPr>
                <w:rFonts w:ascii="Calibri" w:hAnsi="Calibri"/>
                <w:szCs w:val="22"/>
              </w:rPr>
              <w:t>Key Statement DS2 – Sustainable Development</w:t>
            </w:r>
          </w:p>
          <w:p w14:paraId="151D5679" w14:textId="77777777" w:rsidR="00500FBD" w:rsidRDefault="00500FBD" w:rsidP="00500FBD">
            <w:pPr>
              <w:pStyle w:val="PLANNING"/>
              <w:rPr>
                <w:rFonts w:ascii="Calibri" w:hAnsi="Calibri"/>
                <w:szCs w:val="22"/>
              </w:rPr>
            </w:pPr>
            <w:r>
              <w:rPr>
                <w:rFonts w:ascii="Calibri" w:hAnsi="Calibri"/>
                <w:szCs w:val="22"/>
              </w:rPr>
              <w:t>Key Statement EN5 – Heritage Assets</w:t>
            </w:r>
          </w:p>
          <w:p w14:paraId="218B12E9" w14:textId="77777777" w:rsidR="00500FBD" w:rsidRPr="00C618DB" w:rsidRDefault="00500FBD" w:rsidP="00500FBD">
            <w:pPr>
              <w:pStyle w:val="PLANNING"/>
              <w:rPr>
                <w:rFonts w:ascii="Calibri" w:hAnsi="Calibri"/>
                <w:szCs w:val="22"/>
              </w:rPr>
            </w:pPr>
          </w:p>
          <w:p w14:paraId="6F613BE6" w14:textId="77777777" w:rsidR="00500FBD" w:rsidRPr="00C618DB" w:rsidRDefault="00500FBD" w:rsidP="00500FBD">
            <w:pPr>
              <w:pStyle w:val="PLANNING"/>
              <w:rPr>
                <w:rFonts w:ascii="Calibri" w:hAnsi="Calibri"/>
                <w:szCs w:val="22"/>
              </w:rPr>
            </w:pPr>
            <w:r w:rsidRPr="00C618DB">
              <w:rPr>
                <w:rFonts w:ascii="Calibri" w:hAnsi="Calibri"/>
                <w:szCs w:val="22"/>
              </w:rPr>
              <w:t>Policy DMG1 – General Considerations</w:t>
            </w:r>
          </w:p>
          <w:p w14:paraId="0043DCCC" w14:textId="77777777" w:rsidR="00500FBD" w:rsidRDefault="00500FBD" w:rsidP="00500FBD">
            <w:pPr>
              <w:pStyle w:val="PLANNING"/>
              <w:rPr>
                <w:rFonts w:ascii="Calibri" w:hAnsi="Calibri"/>
                <w:szCs w:val="22"/>
              </w:rPr>
            </w:pPr>
            <w:r>
              <w:rPr>
                <w:rFonts w:ascii="Calibri" w:hAnsi="Calibri"/>
                <w:szCs w:val="22"/>
              </w:rPr>
              <w:t>Policy DME4 – Protecting Heritage Assets</w:t>
            </w:r>
          </w:p>
          <w:p w14:paraId="467A2380" w14:textId="77777777" w:rsidR="00500FBD" w:rsidRDefault="00500FBD" w:rsidP="00500FBD">
            <w:pPr>
              <w:pStyle w:val="PLANNING"/>
              <w:rPr>
                <w:rFonts w:ascii="Calibri" w:hAnsi="Calibri"/>
                <w:szCs w:val="22"/>
              </w:rPr>
            </w:pPr>
          </w:p>
          <w:p w14:paraId="56B0B17A" w14:textId="77777777" w:rsidR="00500FBD" w:rsidRPr="00C618DB" w:rsidRDefault="00500FBD" w:rsidP="00500FBD">
            <w:pPr>
              <w:pStyle w:val="PLANNING"/>
              <w:rPr>
                <w:rFonts w:ascii="Calibri" w:hAnsi="Calibri"/>
                <w:szCs w:val="22"/>
              </w:rPr>
            </w:pPr>
            <w:r w:rsidRPr="00D11007">
              <w:rPr>
                <w:rFonts w:ascii="Calibri" w:hAnsi="Calibri"/>
                <w:szCs w:val="22"/>
              </w:rPr>
              <w:t>Planning (Listed Buildings and Conservation Areas) Act</w:t>
            </w:r>
          </w:p>
          <w:p w14:paraId="6E7B1F70" w14:textId="5DBC7A09" w:rsidR="00AF5E2C" w:rsidRDefault="00500FBD"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1069E" w:rsidRDefault="00C0704D" w:rsidP="006A71AD">
            <w:pPr>
              <w:pStyle w:val="PLANNING"/>
              <w:rPr>
                <w:rFonts w:asciiTheme="minorHAnsi" w:hAnsiTheme="minorHAnsi" w:cstheme="minorHAnsi"/>
                <w:b/>
                <w:bCs/>
                <w:szCs w:val="22"/>
              </w:rPr>
            </w:pPr>
            <w:r w:rsidRPr="00B1069E">
              <w:rPr>
                <w:rFonts w:asciiTheme="minorHAnsi" w:hAnsiTheme="minorHAnsi" w:cstheme="minorHAnsi"/>
                <w:b/>
                <w:bCs/>
                <w:szCs w:val="22"/>
              </w:rPr>
              <w:t>Relevant Planning History:</w:t>
            </w:r>
          </w:p>
          <w:p w14:paraId="1D356246" w14:textId="06F5816F" w:rsidR="00C0704D" w:rsidRPr="00B1069E" w:rsidRDefault="00C0704D" w:rsidP="00C0704D">
            <w:pPr>
              <w:pStyle w:val="PLANNING"/>
              <w:rPr>
                <w:rFonts w:asciiTheme="minorHAnsi" w:hAnsiTheme="minorHAnsi" w:cstheme="minorHAnsi"/>
                <w:b/>
                <w:bCs/>
                <w:szCs w:val="22"/>
              </w:rPr>
            </w:pPr>
          </w:p>
          <w:p w14:paraId="555CA005" w14:textId="629255AC" w:rsidR="00323A8C" w:rsidRPr="00323A8C" w:rsidRDefault="00323A8C" w:rsidP="001118B4">
            <w:pPr>
              <w:pStyle w:val="PLANNING"/>
              <w:rPr>
                <w:rFonts w:asciiTheme="minorHAnsi" w:hAnsiTheme="minorHAnsi" w:cstheme="minorHAnsi"/>
                <w:b/>
                <w:bCs/>
                <w:szCs w:val="22"/>
              </w:rPr>
            </w:pPr>
            <w:r w:rsidRPr="00323A8C">
              <w:rPr>
                <w:rFonts w:asciiTheme="minorHAnsi" w:hAnsiTheme="minorHAnsi" w:cstheme="minorHAnsi"/>
                <w:b/>
                <w:bCs/>
                <w:szCs w:val="22"/>
              </w:rPr>
              <w:t>3/2021/1018</w:t>
            </w:r>
          </w:p>
          <w:p w14:paraId="1177E5ED" w14:textId="77777777" w:rsidR="00480A46" w:rsidRPr="00BB0349" w:rsidRDefault="00323A8C" w:rsidP="001118B4">
            <w:pPr>
              <w:pStyle w:val="PLANNING"/>
              <w:rPr>
                <w:rFonts w:asciiTheme="minorHAnsi" w:hAnsiTheme="minorHAnsi" w:cstheme="minorHAnsi"/>
                <w:i/>
                <w:iCs/>
                <w:szCs w:val="22"/>
              </w:rPr>
            </w:pPr>
            <w:r w:rsidRPr="00BB0349">
              <w:rPr>
                <w:rFonts w:asciiTheme="minorHAnsi" w:hAnsiTheme="minorHAnsi" w:cstheme="minorHAnsi"/>
                <w:i/>
                <w:iCs/>
                <w:szCs w:val="22"/>
              </w:rPr>
              <w:t>Listed Building Consent for the interior refurbishment of the ground floor of the north and east ranges of the Shireburn Quad into an improved school health centre. Accommodation will consist of a GP room, a treatment room, waiting area, three isolation rooms, two ward rooms, three staff beds, a staff lounge, staff bathroom and staff kitchen, three stores, sluice, an office room and WC.</w:t>
            </w:r>
          </w:p>
          <w:p w14:paraId="474831CC" w14:textId="77777777" w:rsidR="00323A8C" w:rsidRDefault="00323A8C" w:rsidP="001118B4">
            <w:pPr>
              <w:pStyle w:val="PLANNING"/>
              <w:rPr>
                <w:rFonts w:asciiTheme="minorHAnsi" w:hAnsiTheme="minorHAnsi" w:cstheme="minorHAnsi"/>
                <w:szCs w:val="22"/>
              </w:rPr>
            </w:pPr>
            <w:r>
              <w:rPr>
                <w:rFonts w:asciiTheme="minorHAnsi" w:hAnsiTheme="minorHAnsi" w:cstheme="minorHAnsi"/>
                <w:szCs w:val="22"/>
              </w:rPr>
              <w:t>Approved with Conditions</w:t>
            </w:r>
          </w:p>
          <w:p w14:paraId="40470D4F" w14:textId="77777777" w:rsidR="00323A8C" w:rsidRDefault="00323A8C" w:rsidP="001118B4">
            <w:pPr>
              <w:pStyle w:val="PLANNING"/>
              <w:rPr>
                <w:rFonts w:asciiTheme="minorHAnsi" w:hAnsiTheme="minorHAnsi" w:cstheme="minorHAnsi"/>
                <w:szCs w:val="22"/>
              </w:rPr>
            </w:pPr>
          </w:p>
          <w:p w14:paraId="442F9B66" w14:textId="782BA896" w:rsidR="00323A8C" w:rsidRPr="00323A8C" w:rsidRDefault="00323A8C" w:rsidP="001118B4">
            <w:pPr>
              <w:pStyle w:val="PLANNING"/>
              <w:rPr>
                <w:rFonts w:asciiTheme="minorHAnsi" w:hAnsiTheme="minorHAnsi" w:cstheme="minorHAnsi"/>
                <w:b/>
                <w:bCs/>
                <w:szCs w:val="22"/>
              </w:rPr>
            </w:pPr>
            <w:r w:rsidRPr="00323A8C">
              <w:rPr>
                <w:rFonts w:asciiTheme="minorHAnsi" w:hAnsiTheme="minorHAnsi" w:cstheme="minorHAnsi"/>
                <w:b/>
                <w:bCs/>
                <w:szCs w:val="22"/>
              </w:rPr>
              <w:lastRenderedPageBreak/>
              <w:t>3/2017/1148</w:t>
            </w:r>
          </w:p>
          <w:p w14:paraId="5EE3AD8F" w14:textId="272C7B3F" w:rsidR="00323A8C" w:rsidRPr="00BB0349" w:rsidRDefault="00323A8C" w:rsidP="001118B4">
            <w:pPr>
              <w:pStyle w:val="PLANNING"/>
              <w:rPr>
                <w:rFonts w:asciiTheme="minorHAnsi" w:hAnsiTheme="minorHAnsi" w:cstheme="minorHAnsi"/>
                <w:i/>
                <w:iCs/>
                <w:szCs w:val="22"/>
              </w:rPr>
            </w:pPr>
            <w:r w:rsidRPr="00BB0349">
              <w:rPr>
                <w:rFonts w:asciiTheme="minorHAnsi" w:hAnsiTheme="minorHAnsi" w:cstheme="minorHAnsi"/>
                <w:i/>
                <w:iCs/>
                <w:szCs w:val="22"/>
              </w:rPr>
              <w:t xml:space="preserve">Certificate of Lawfulness to repair and replace certain windows in Shireburn Quad </w:t>
            </w:r>
          </w:p>
          <w:p w14:paraId="557B8922" w14:textId="77777777" w:rsidR="00323A8C" w:rsidRDefault="00323A8C" w:rsidP="001118B4">
            <w:pPr>
              <w:pStyle w:val="PLANNING"/>
              <w:rPr>
                <w:rFonts w:asciiTheme="minorHAnsi" w:hAnsiTheme="minorHAnsi" w:cstheme="minorHAnsi"/>
                <w:szCs w:val="22"/>
              </w:rPr>
            </w:pPr>
            <w:r>
              <w:rPr>
                <w:rFonts w:asciiTheme="minorHAnsi" w:hAnsiTheme="minorHAnsi" w:cstheme="minorHAnsi"/>
                <w:szCs w:val="22"/>
              </w:rPr>
              <w:t>Approved No Conditions</w:t>
            </w:r>
          </w:p>
          <w:p w14:paraId="242CDE87" w14:textId="77777777" w:rsidR="00323A8C" w:rsidRDefault="00323A8C" w:rsidP="001118B4">
            <w:pPr>
              <w:pStyle w:val="PLANNING"/>
              <w:rPr>
                <w:rFonts w:asciiTheme="minorHAnsi" w:hAnsiTheme="minorHAnsi" w:cstheme="minorHAnsi"/>
                <w:szCs w:val="22"/>
              </w:rPr>
            </w:pPr>
          </w:p>
          <w:p w14:paraId="2C380141" w14:textId="77777777" w:rsidR="00323A8C" w:rsidRPr="00323A8C" w:rsidRDefault="00323A8C" w:rsidP="00323A8C">
            <w:pPr>
              <w:pStyle w:val="PLANNING"/>
              <w:rPr>
                <w:rFonts w:asciiTheme="minorHAnsi" w:hAnsiTheme="minorHAnsi" w:cstheme="minorHAnsi"/>
                <w:b/>
                <w:bCs/>
                <w:szCs w:val="22"/>
              </w:rPr>
            </w:pPr>
            <w:r w:rsidRPr="00323A8C">
              <w:rPr>
                <w:rFonts w:asciiTheme="minorHAnsi" w:hAnsiTheme="minorHAnsi" w:cstheme="minorHAnsi"/>
                <w:b/>
                <w:bCs/>
                <w:szCs w:val="22"/>
              </w:rPr>
              <w:t>3/2014/0736</w:t>
            </w:r>
          </w:p>
          <w:p w14:paraId="1B80DA01" w14:textId="77777777" w:rsidR="00323A8C" w:rsidRPr="00BB0349" w:rsidRDefault="00323A8C" w:rsidP="001118B4">
            <w:pPr>
              <w:pStyle w:val="PLANNING"/>
              <w:rPr>
                <w:rFonts w:asciiTheme="minorHAnsi" w:hAnsiTheme="minorHAnsi" w:cstheme="minorHAnsi"/>
                <w:i/>
                <w:iCs/>
                <w:szCs w:val="22"/>
              </w:rPr>
            </w:pPr>
            <w:r w:rsidRPr="00BB0349">
              <w:rPr>
                <w:rFonts w:asciiTheme="minorHAnsi" w:hAnsiTheme="minorHAnsi" w:cstheme="minorHAnsi"/>
                <w:i/>
                <w:iCs/>
                <w:szCs w:val="22"/>
              </w:rPr>
              <w:t>Restoring the opening between Arundell Library and the former Rhetoric Common Room</w:t>
            </w:r>
          </w:p>
          <w:p w14:paraId="41DECE5B" w14:textId="77777777" w:rsidR="00323A8C" w:rsidRDefault="00323A8C" w:rsidP="001118B4">
            <w:pPr>
              <w:pStyle w:val="PLANNING"/>
              <w:rPr>
                <w:rFonts w:asciiTheme="minorHAnsi" w:hAnsiTheme="minorHAnsi" w:cstheme="minorHAnsi"/>
                <w:szCs w:val="22"/>
              </w:rPr>
            </w:pPr>
            <w:r>
              <w:rPr>
                <w:rFonts w:asciiTheme="minorHAnsi" w:hAnsiTheme="minorHAnsi" w:cstheme="minorHAnsi"/>
                <w:szCs w:val="22"/>
              </w:rPr>
              <w:t>Approved with Conditions</w:t>
            </w:r>
          </w:p>
          <w:p w14:paraId="4975BC26" w14:textId="77777777" w:rsidR="00323A8C" w:rsidRDefault="00323A8C" w:rsidP="001118B4">
            <w:pPr>
              <w:pStyle w:val="PLANNING"/>
              <w:rPr>
                <w:rFonts w:asciiTheme="minorHAnsi" w:hAnsiTheme="minorHAnsi" w:cstheme="minorHAnsi"/>
                <w:szCs w:val="22"/>
              </w:rPr>
            </w:pPr>
          </w:p>
          <w:p w14:paraId="2E452DD6" w14:textId="0B8D3611" w:rsidR="00BB0349" w:rsidRPr="00BB0349" w:rsidRDefault="00BB0349" w:rsidP="001118B4">
            <w:pPr>
              <w:pStyle w:val="PLANNING"/>
              <w:rPr>
                <w:rFonts w:asciiTheme="minorHAnsi" w:hAnsiTheme="minorHAnsi" w:cstheme="minorHAnsi"/>
                <w:b/>
                <w:bCs/>
                <w:szCs w:val="22"/>
              </w:rPr>
            </w:pPr>
            <w:r w:rsidRPr="00BB0349">
              <w:rPr>
                <w:rFonts w:asciiTheme="minorHAnsi" w:hAnsiTheme="minorHAnsi" w:cstheme="minorHAnsi"/>
                <w:b/>
                <w:bCs/>
                <w:szCs w:val="22"/>
              </w:rPr>
              <w:t>3/2013/0300</w:t>
            </w:r>
          </w:p>
          <w:p w14:paraId="4E265417" w14:textId="77777777" w:rsidR="00323A8C" w:rsidRPr="00BB0349" w:rsidRDefault="00BB0349" w:rsidP="001118B4">
            <w:pPr>
              <w:pStyle w:val="PLANNING"/>
              <w:rPr>
                <w:rFonts w:asciiTheme="minorHAnsi" w:hAnsiTheme="minorHAnsi" w:cstheme="minorHAnsi"/>
                <w:i/>
                <w:iCs/>
                <w:szCs w:val="22"/>
              </w:rPr>
            </w:pPr>
            <w:r w:rsidRPr="00BB0349">
              <w:rPr>
                <w:rFonts w:asciiTheme="minorHAnsi" w:hAnsiTheme="minorHAnsi" w:cstheme="minorHAnsi"/>
                <w:i/>
                <w:iCs/>
                <w:szCs w:val="22"/>
              </w:rPr>
              <w:t>Application to discharge condition no. 4 (specification of phased works) of planning permission 3/2011/1047P. Phase 5.</w:t>
            </w:r>
          </w:p>
          <w:p w14:paraId="32A29A76" w14:textId="77777777" w:rsidR="00BB0349" w:rsidRDefault="00BB0349" w:rsidP="00BB0349">
            <w:pPr>
              <w:pStyle w:val="PLANNING"/>
              <w:rPr>
                <w:rFonts w:asciiTheme="minorHAnsi" w:hAnsiTheme="minorHAnsi" w:cstheme="minorHAnsi"/>
                <w:szCs w:val="22"/>
              </w:rPr>
            </w:pPr>
            <w:r>
              <w:rPr>
                <w:rFonts w:asciiTheme="minorHAnsi" w:hAnsiTheme="minorHAnsi" w:cstheme="minorHAnsi"/>
                <w:szCs w:val="22"/>
              </w:rPr>
              <w:t>Approved No Conditions</w:t>
            </w:r>
          </w:p>
          <w:p w14:paraId="3078E72D" w14:textId="77777777" w:rsidR="00BB0349" w:rsidRDefault="00BB0349" w:rsidP="001118B4">
            <w:pPr>
              <w:pStyle w:val="PLANNING"/>
              <w:rPr>
                <w:rFonts w:asciiTheme="minorHAnsi" w:hAnsiTheme="minorHAnsi" w:cstheme="minorHAnsi"/>
                <w:szCs w:val="22"/>
              </w:rPr>
            </w:pPr>
          </w:p>
          <w:p w14:paraId="0AF0C595" w14:textId="39F9ECDB" w:rsidR="00BB0349" w:rsidRPr="00BB0349" w:rsidRDefault="00BB0349" w:rsidP="001118B4">
            <w:pPr>
              <w:pStyle w:val="PLANNING"/>
              <w:rPr>
                <w:rFonts w:asciiTheme="minorHAnsi" w:hAnsiTheme="minorHAnsi" w:cstheme="minorHAnsi"/>
                <w:b/>
                <w:bCs/>
                <w:szCs w:val="22"/>
              </w:rPr>
            </w:pPr>
            <w:r w:rsidRPr="00BB0349">
              <w:rPr>
                <w:rFonts w:asciiTheme="minorHAnsi" w:hAnsiTheme="minorHAnsi" w:cstheme="minorHAnsi"/>
                <w:b/>
                <w:bCs/>
                <w:szCs w:val="22"/>
              </w:rPr>
              <w:t>3/2013/0299</w:t>
            </w:r>
          </w:p>
          <w:p w14:paraId="17CC791C" w14:textId="77777777" w:rsidR="00BB0349" w:rsidRPr="00BB0349" w:rsidRDefault="00BB0349" w:rsidP="001118B4">
            <w:pPr>
              <w:pStyle w:val="PLANNING"/>
              <w:rPr>
                <w:rFonts w:asciiTheme="minorHAnsi" w:hAnsiTheme="minorHAnsi" w:cstheme="minorHAnsi"/>
                <w:i/>
                <w:iCs/>
                <w:szCs w:val="22"/>
              </w:rPr>
            </w:pPr>
            <w:r w:rsidRPr="00BB0349">
              <w:rPr>
                <w:rFonts w:asciiTheme="minorHAnsi" w:hAnsiTheme="minorHAnsi" w:cstheme="minorHAnsi"/>
                <w:i/>
                <w:iCs/>
                <w:szCs w:val="22"/>
              </w:rPr>
              <w:t>Application to discharge condition no. 4 (specification of phased works) of planning permission 3/2011/1047P. Phase 4.</w:t>
            </w:r>
          </w:p>
          <w:p w14:paraId="1A4EE597" w14:textId="77777777" w:rsidR="00BB0349" w:rsidRDefault="00BB0349" w:rsidP="00BB0349">
            <w:pPr>
              <w:pStyle w:val="PLANNING"/>
              <w:rPr>
                <w:rFonts w:asciiTheme="minorHAnsi" w:hAnsiTheme="minorHAnsi" w:cstheme="minorHAnsi"/>
                <w:szCs w:val="22"/>
              </w:rPr>
            </w:pPr>
            <w:r>
              <w:rPr>
                <w:rFonts w:asciiTheme="minorHAnsi" w:hAnsiTheme="minorHAnsi" w:cstheme="minorHAnsi"/>
                <w:szCs w:val="22"/>
              </w:rPr>
              <w:t>Approved No Conditions</w:t>
            </w:r>
          </w:p>
          <w:p w14:paraId="792D2B3E" w14:textId="77777777" w:rsidR="00BB0349" w:rsidRDefault="00BB0349" w:rsidP="001118B4">
            <w:pPr>
              <w:pStyle w:val="PLANNING"/>
              <w:rPr>
                <w:rFonts w:asciiTheme="minorHAnsi" w:hAnsiTheme="minorHAnsi" w:cstheme="minorHAnsi"/>
                <w:szCs w:val="22"/>
              </w:rPr>
            </w:pPr>
          </w:p>
          <w:p w14:paraId="7008EC60" w14:textId="77777777" w:rsidR="00BB0349" w:rsidRPr="00BB0349" w:rsidRDefault="00BB0349" w:rsidP="001118B4">
            <w:pPr>
              <w:pStyle w:val="PLANNING"/>
              <w:rPr>
                <w:rFonts w:asciiTheme="minorHAnsi" w:hAnsiTheme="minorHAnsi" w:cstheme="minorHAnsi"/>
                <w:b/>
                <w:bCs/>
                <w:szCs w:val="22"/>
              </w:rPr>
            </w:pPr>
            <w:r w:rsidRPr="00BB0349">
              <w:rPr>
                <w:rFonts w:asciiTheme="minorHAnsi" w:hAnsiTheme="minorHAnsi" w:cstheme="minorHAnsi"/>
                <w:b/>
                <w:bCs/>
                <w:szCs w:val="22"/>
              </w:rPr>
              <w:t>3/2013/0298</w:t>
            </w:r>
          </w:p>
          <w:p w14:paraId="0C8EC586" w14:textId="77777777" w:rsidR="00BB0349" w:rsidRPr="00BB0349" w:rsidRDefault="00BB0349" w:rsidP="001118B4">
            <w:pPr>
              <w:pStyle w:val="PLANNING"/>
              <w:rPr>
                <w:rFonts w:asciiTheme="minorHAnsi" w:hAnsiTheme="minorHAnsi" w:cstheme="minorHAnsi"/>
                <w:i/>
                <w:iCs/>
                <w:szCs w:val="22"/>
              </w:rPr>
            </w:pPr>
            <w:r w:rsidRPr="00BB0349">
              <w:rPr>
                <w:rFonts w:asciiTheme="minorHAnsi" w:hAnsiTheme="minorHAnsi" w:cstheme="minorHAnsi"/>
                <w:i/>
                <w:iCs/>
                <w:szCs w:val="22"/>
              </w:rPr>
              <w:t>Application to discharge condition no. 4 (specification of phased works) of planning permission 3/2011/1047P. Phase 3.</w:t>
            </w:r>
          </w:p>
          <w:p w14:paraId="45950CAF" w14:textId="77777777" w:rsidR="00BB0349" w:rsidRDefault="00BB0349" w:rsidP="001118B4">
            <w:pPr>
              <w:pStyle w:val="PLANNING"/>
              <w:rPr>
                <w:rFonts w:asciiTheme="minorHAnsi" w:hAnsiTheme="minorHAnsi" w:cstheme="minorHAnsi"/>
                <w:szCs w:val="22"/>
              </w:rPr>
            </w:pPr>
            <w:r>
              <w:rPr>
                <w:rFonts w:asciiTheme="minorHAnsi" w:hAnsiTheme="minorHAnsi" w:cstheme="minorHAnsi"/>
                <w:szCs w:val="22"/>
              </w:rPr>
              <w:t>Approved No Conditions</w:t>
            </w:r>
          </w:p>
          <w:p w14:paraId="625F8592" w14:textId="77777777" w:rsidR="00BB0349" w:rsidRDefault="00BB0349" w:rsidP="001118B4">
            <w:pPr>
              <w:pStyle w:val="PLANNING"/>
              <w:rPr>
                <w:rFonts w:asciiTheme="minorHAnsi" w:hAnsiTheme="minorHAnsi" w:cstheme="minorHAnsi"/>
                <w:szCs w:val="22"/>
              </w:rPr>
            </w:pPr>
          </w:p>
          <w:p w14:paraId="78150C79" w14:textId="1E5FF5E3" w:rsidR="00BB0349" w:rsidRPr="00BB0349" w:rsidRDefault="00BB0349" w:rsidP="001118B4">
            <w:pPr>
              <w:pStyle w:val="PLANNING"/>
              <w:rPr>
                <w:rFonts w:asciiTheme="minorHAnsi" w:hAnsiTheme="minorHAnsi" w:cstheme="minorHAnsi"/>
                <w:b/>
                <w:bCs/>
                <w:szCs w:val="22"/>
              </w:rPr>
            </w:pPr>
            <w:r w:rsidRPr="00BB0349">
              <w:rPr>
                <w:rFonts w:asciiTheme="minorHAnsi" w:hAnsiTheme="minorHAnsi" w:cstheme="minorHAnsi"/>
                <w:b/>
                <w:bCs/>
                <w:szCs w:val="22"/>
              </w:rPr>
              <w:t>3/2011/1047</w:t>
            </w:r>
          </w:p>
          <w:p w14:paraId="2CC2EDE3" w14:textId="77777777" w:rsidR="00BB0349" w:rsidRPr="00BB0349" w:rsidRDefault="00BB0349" w:rsidP="001118B4">
            <w:pPr>
              <w:pStyle w:val="PLANNING"/>
              <w:rPr>
                <w:rFonts w:asciiTheme="minorHAnsi" w:hAnsiTheme="minorHAnsi" w:cstheme="minorHAnsi"/>
                <w:i/>
                <w:iCs/>
                <w:szCs w:val="22"/>
              </w:rPr>
            </w:pPr>
            <w:r w:rsidRPr="00BB0349">
              <w:rPr>
                <w:rFonts w:asciiTheme="minorHAnsi" w:hAnsiTheme="minorHAnsi" w:cstheme="minorHAnsi"/>
                <w:i/>
                <w:iCs/>
                <w:szCs w:val="22"/>
              </w:rPr>
              <w:t>Proposed essential fire prevention works throughout the college.</w:t>
            </w:r>
          </w:p>
          <w:p w14:paraId="226CDBF8" w14:textId="77777777" w:rsidR="00BB0349" w:rsidRDefault="00BB0349" w:rsidP="00BB0349">
            <w:pPr>
              <w:pStyle w:val="PLANNING"/>
              <w:rPr>
                <w:rFonts w:asciiTheme="minorHAnsi" w:hAnsiTheme="minorHAnsi" w:cstheme="minorHAnsi"/>
                <w:szCs w:val="22"/>
              </w:rPr>
            </w:pPr>
            <w:r>
              <w:rPr>
                <w:rFonts w:asciiTheme="minorHAnsi" w:hAnsiTheme="minorHAnsi" w:cstheme="minorHAnsi"/>
                <w:szCs w:val="22"/>
              </w:rPr>
              <w:t>Approved No Conditions</w:t>
            </w:r>
          </w:p>
          <w:p w14:paraId="30FAC342" w14:textId="77777777" w:rsidR="00BB0349" w:rsidRDefault="00BB0349" w:rsidP="001118B4">
            <w:pPr>
              <w:pStyle w:val="PLANNING"/>
              <w:rPr>
                <w:rFonts w:asciiTheme="minorHAnsi" w:hAnsiTheme="minorHAnsi" w:cstheme="minorHAnsi"/>
                <w:szCs w:val="22"/>
              </w:rPr>
            </w:pPr>
          </w:p>
          <w:p w14:paraId="4B3D9F69" w14:textId="77777777" w:rsidR="00BB0349" w:rsidRPr="00BB0349" w:rsidRDefault="00BB0349" w:rsidP="001118B4">
            <w:pPr>
              <w:pStyle w:val="PLANNING"/>
              <w:rPr>
                <w:rFonts w:asciiTheme="minorHAnsi" w:hAnsiTheme="minorHAnsi" w:cstheme="minorHAnsi"/>
                <w:b/>
                <w:bCs/>
                <w:szCs w:val="22"/>
              </w:rPr>
            </w:pPr>
            <w:r w:rsidRPr="00BB0349">
              <w:rPr>
                <w:rFonts w:asciiTheme="minorHAnsi" w:hAnsiTheme="minorHAnsi" w:cstheme="minorHAnsi"/>
                <w:b/>
                <w:bCs/>
                <w:szCs w:val="22"/>
              </w:rPr>
              <w:t>3/2005/0242</w:t>
            </w:r>
          </w:p>
          <w:p w14:paraId="7DC49D35" w14:textId="77777777" w:rsidR="00BB0349" w:rsidRPr="00BB0349" w:rsidRDefault="00BB0349" w:rsidP="001118B4">
            <w:pPr>
              <w:pStyle w:val="PLANNING"/>
              <w:rPr>
                <w:rFonts w:asciiTheme="minorHAnsi" w:hAnsiTheme="minorHAnsi" w:cstheme="minorHAnsi"/>
                <w:i/>
                <w:iCs/>
                <w:szCs w:val="22"/>
              </w:rPr>
            </w:pPr>
            <w:r w:rsidRPr="00BB0349">
              <w:rPr>
                <w:rFonts w:asciiTheme="minorHAnsi" w:hAnsiTheme="minorHAnsi" w:cstheme="minorHAnsi"/>
                <w:i/>
                <w:iCs/>
                <w:szCs w:val="22"/>
              </w:rPr>
              <w:t>Conversion and refurbishment of the ground, first and second floors including "Bridge of Sighs" to provide living accommodation for both staff and boarders, including new sanitary accommodation and associated ancillary areas.</w:t>
            </w:r>
          </w:p>
          <w:p w14:paraId="4A0DA167" w14:textId="77777777" w:rsidR="00BB0349" w:rsidRDefault="00BB0349" w:rsidP="001118B4">
            <w:pPr>
              <w:pStyle w:val="PLANNING"/>
              <w:rPr>
                <w:rFonts w:asciiTheme="minorHAnsi" w:hAnsiTheme="minorHAnsi" w:cstheme="minorHAnsi"/>
                <w:szCs w:val="22"/>
              </w:rPr>
            </w:pPr>
            <w:r w:rsidRPr="00BB0349">
              <w:rPr>
                <w:rFonts w:asciiTheme="minorHAnsi" w:hAnsiTheme="minorHAnsi" w:cstheme="minorHAnsi"/>
                <w:szCs w:val="22"/>
              </w:rPr>
              <w:t>Approved with Conditions</w:t>
            </w:r>
          </w:p>
          <w:p w14:paraId="7C8F8EF4" w14:textId="77777777" w:rsidR="00BB0349" w:rsidRDefault="00BB0349" w:rsidP="001118B4">
            <w:pPr>
              <w:pStyle w:val="PLANNING"/>
              <w:rPr>
                <w:rFonts w:asciiTheme="minorHAnsi" w:hAnsiTheme="minorHAnsi" w:cstheme="minorHAnsi"/>
                <w:szCs w:val="22"/>
              </w:rPr>
            </w:pPr>
          </w:p>
          <w:p w14:paraId="5799F073" w14:textId="77777777" w:rsidR="00BB0349" w:rsidRPr="00BB0349" w:rsidRDefault="00BB0349" w:rsidP="001118B4">
            <w:pPr>
              <w:pStyle w:val="PLANNING"/>
              <w:rPr>
                <w:rFonts w:asciiTheme="minorHAnsi" w:hAnsiTheme="minorHAnsi" w:cstheme="minorHAnsi"/>
                <w:b/>
                <w:bCs/>
                <w:szCs w:val="22"/>
              </w:rPr>
            </w:pPr>
            <w:r w:rsidRPr="00BB0349">
              <w:rPr>
                <w:rFonts w:asciiTheme="minorHAnsi" w:hAnsiTheme="minorHAnsi" w:cstheme="minorHAnsi"/>
                <w:b/>
                <w:bCs/>
                <w:szCs w:val="22"/>
              </w:rPr>
              <w:t>3/2000/0031</w:t>
            </w:r>
          </w:p>
          <w:p w14:paraId="45A1E012" w14:textId="184B220A" w:rsidR="00BB0349" w:rsidRPr="00BB0349" w:rsidRDefault="00BB0349" w:rsidP="001118B4">
            <w:pPr>
              <w:pStyle w:val="PLANNING"/>
              <w:rPr>
                <w:rFonts w:asciiTheme="minorHAnsi" w:hAnsiTheme="minorHAnsi" w:cstheme="minorHAnsi"/>
                <w:i/>
                <w:iCs/>
                <w:szCs w:val="22"/>
              </w:rPr>
            </w:pPr>
            <w:r w:rsidRPr="00BB0349">
              <w:rPr>
                <w:rFonts w:asciiTheme="minorHAnsi" w:hAnsiTheme="minorHAnsi" w:cstheme="minorHAnsi"/>
                <w:i/>
                <w:iCs/>
                <w:szCs w:val="22"/>
              </w:rPr>
              <w:t xml:space="preserve">Conversion and refurb of ground, 1st and 2nd floors including 'bridge of sighs' to provide living accommodation for staff and boarders including new sanitary accomm &amp; assoc. ancillary areas </w:t>
            </w:r>
          </w:p>
          <w:p w14:paraId="1D6C8398" w14:textId="77777777" w:rsidR="00BB0349" w:rsidRDefault="00BB0349" w:rsidP="001118B4">
            <w:pPr>
              <w:pStyle w:val="PLANNING"/>
              <w:rPr>
                <w:rFonts w:asciiTheme="minorHAnsi" w:hAnsiTheme="minorHAnsi" w:cstheme="minorHAnsi"/>
                <w:szCs w:val="22"/>
              </w:rPr>
            </w:pPr>
            <w:r w:rsidRPr="00BB0349">
              <w:rPr>
                <w:rFonts w:asciiTheme="minorHAnsi" w:hAnsiTheme="minorHAnsi" w:cstheme="minorHAnsi"/>
                <w:szCs w:val="22"/>
              </w:rPr>
              <w:t>Approved with Conditions</w:t>
            </w:r>
          </w:p>
          <w:p w14:paraId="30301E68" w14:textId="77777777" w:rsidR="00BB0349" w:rsidRDefault="00BB0349" w:rsidP="001118B4">
            <w:pPr>
              <w:pStyle w:val="PLANNING"/>
              <w:rPr>
                <w:rFonts w:asciiTheme="minorHAnsi" w:hAnsiTheme="minorHAnsi" w:cstheme="minorHAnsi"/>
                <w:szCs w:val="22"/>
              </w:rPr>
            </w:pPr>
          </w:p>
          <w:p w14:paraId="407E6E02" w14:textId="77777777" w:rsidR="00BB0349" w:rsidRPr="00BB0349" w:rsidRDefault="00BB0349" w:rsidP="001118B4">
            <w:pPr>
              <w:pStyle w:val="PLANNING"/>
              <w:rPr>
                <w:rFonts w:asciiTheme="minorHAnsi" w:hAnsiTheme="minorHAnsi" w:cstheme="minorHAnsi"/>
                <w:b/>
                <w:bCs/>
                <w:szCs w:val="22"/>
              </w:rPr>
            </w:pPr>
            <w:r w:rsidRPr="00BB0349">
              <w:rPr>
                <w:rFonts w:asciiTheme="minorHAnsi" w:hAnsiTheme="minorHAnsi" w:cstheme="minorHAnsi"/>
                <w:b/>
                <w:bCs/>
                <w:szCs w:val="22"/>
              </w:rPr>
              <w:t>3/1997/0484</w:t>
            </w:r>
          </w:p>
          <w:p w14:paraId="50785A24" w14:textId="7CC951DD" w:rsidR="00BB0349" w:rsidRPr="00BB0349" w:rsidRDefault="00BB0349" w:rsidP="001118B4">
            <w:pPr>
              <w:pStyle w:val="PLANNING"/>
              <w:rPr>
                <w:rFonts w:asciiTheme="minorHAnsi" w:hAnsiTheme="minorHAnsi" w:cstheme="minorHAnsi"/>
                <w:i/>
                <w:iCs/>
                <w:szCs w:val="22"/>
              </w:rPr>
            </w:pPr>
            <w:r w:rsidRPr="00BB0349">
              <w:rPr>
                <w:rFonts w:asciiTheme="minorHAnsi" w:hAnsiTheme="minorHAnsi" w:cstheme="minorHAnsi"/>
                <w:i/>
                <w:iCs/>
                <w:szCs w:val="22"/>
              </w:rPr>
              <w:t>Conversion of the bursary to accommodate the infirmary (listed building consent)</w:t>
            </w:r>
          </w:p>
          <w:p w14:paraId="7AF65DCA" w14:textId="77777777" w:rsidR="00BB0349" w:rsidRDefault="00BB0349" w:rsidP="001118B4">
            <w:pPr>
              <w:pStyle w:val="PLANNING"/>
              <w:rPr>
                <w:rFonts w:asciiTheme="minorHAnsi" w:hAnsiTheme="minorHAnsi" w:cstheme="minorHAnsi"/>
                <w:szCs w:val="22"/>
              </w:rPr>
            </w:pPr>
            <w:r w:rsidRPr="00BB0349">
              <w:rPr>
                <w:rFonts w:asciiTheme="minorHAnsi" w:hAnsiTheme="minorHAnsi" w:cstheme="minorHAnsi"/>
                <w:szCs w:val="22"/>
              </w:rPr>
              <w:t>Approved with Conditions</w:t>
            </w:r>
          </w:p>
          <w:p w14:paraId="33E72835" w14:textId="77777777" w:rsidR="00BB0349" w:rsidRDefault="00BB0349" w:rsidP="001118B4">
            <w:pPr>
              <w:pStyle w:val="PLANNING"/>
              <w:rPr>
                <w:rFonts w:asciiTheme="minorHAnsi" w:hAnsiTheme="minorHAnsi" w:cstheme="minorHAnsi"/>
                <w:szCs w:val="22"/>
              </w:rPr>
            </w:pPr>
          </w:p>
          <w:p w14:paraId="62A52B24" w14:textId="77777777" w:rsidR="00BB0349" w:rsidRPr="00BB0349" w:rsidRDefault="00BB0349" w:rsidP="001118B4">
            <w:pPr>
              <w:pStyle w:val="PLANNING"/>
              <w:rPr>
                <w:rFonts w:asciiTheme="minorHAnsi" w:hAnsiTheme="minorHAnsi" w:cstheme="minorHAnsi"/>
                <w:b/>
                <w:bCs/>
                <w:szCs w:val="22"/>
              </w:rPr>
            </w:pPr>
            <w:r w:rsidRPr="00BB0349">
              <w:rPr>
                <w:rFonts w:asciiTheme="minorHAnsi" w:hAnsiTheme="minorHAnsi" w:cstheme="minorHAnsi"/>
                <w:b/>
                <w:bCs/>
                <w:szCs w:val="22"/>
              </w:rPr>
              <w:t>3/1991/0441</w:t>
            </w:r>
          </w:p>
          <w:p w14:paraId="224C4E42" w14:textId="09A41D68" w:rsidR="00BB0349" w:rsidRPr="00BB0349" w:rsidRDefault="00BB0349" w:rsidP="001118B4">
            <w:pPr>
              <w:pStyle w:val="PLANNING"/>
              <w:rPr>
                <w:rFonts w:asciiTheme="minorHAnsi" w:hAnsiTheme="minorHAnsi" w:cstheme="minorHAnsi"/>
                <w:i/>
                <w:iCs/>
                <w:szCs w:val="22"/>
              </w:rPr>
            </w:pPr>
            <w:r w:rsidRPr="00BB0349">
              <w:rPr>
                <w:rFonts w:asciiTheme="minorHAnsi" w:hAnsiTheme="minorHAnsi" w:cstheme="minorHAnsi"/>
                <w:i/>
                <w:iCs/>
                <w:szCs w:val="22"/>
              </w:rPr>
              <w:t>Forming a new window opening and providing a new window to match existing windows in building no 29 (listed building application)</w:t>
            </w:r>
          </w:p>
          <w:p w14:paraId="08888873" w14:textId="78E753F4" w:rsidR="00DF4FC3" w:rsidRDefault="00BB0349" w:rsidP="00BB0349">
            <w:pPr>
              <w:pStyle w:val="PLANNING"/>
              <w:rPr>
                <w:rFonts w:asciiTheme="minorHAnsi" w:hAnsiTheme="minorHAnsi" w:cstheme="minorHAnsi"/>
                <w:szCs w:val="22"/>
              </w:rPr>
            </w:pPr>
            <w:r w:rsidRPr="00BB0349">
              <w:rPr>
                <w:rFonts w:asciiTheme="minorHAnsi" w:hAnsiTheme="minorHAnsi" w:cstheme="minorHAnsi"/>
                <w:szCs w:val="22"/>
              </w:rPr>
              <w:t>Approved with Conditions</w:t>
            </w:r>
          </w:p>
          <w:p w14:paraId="17147D50" w14:textId="2BD4D081" w:rsidR="00BB0349" w:rsidRPr="00323A8C" w:rsidRDefault="00BB0349" w:rsidP="001118B4">
            <w:pPr>
              <w:pStyle w:val="PLANNING"/>
              <w:rPr>
                <w:rFonts w:asciiTheme="minorHAnsi" w:hAnsiTheme="minorHAnsi" w:cstheme="minorHAnsi"/>
                <w:szCs w:val="22"/>
              </w:rPr>
            </w:pPr>
          </w:p>
        </w:tc>
      </w:tr>
      <w:tr w:rsidR="00C0704D" w:rsidRPr="00D2449B" w14:paraId="6AAC3B0A" w14:textId="77777777" w:rsidTr="00AA5035">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C461E02" w14:textId="77777777" w:rsidR="00CC4B47" w:rsidRPr="00E85D14" w:rsidRDefault="00CC4B47" w:rsidP="00CC4B47">
            <w:pPr>
              <w:overflowPunct/>
              <w:autoSpaceDE/>
              <w:autoSpaceDN/>
              <w:adjustRightInd/>
              <w:jc w:val="both"/>
              <w:textAlignment w:val="auto"/>
              <w:rPr>
                <w:rFonts w:asciiTheme="minorHAnsi" w:hAnsiTheme="minorHAnsi" w:cstheme="minorHAnsi"/>
                <w:szCs w:val="24"/>
              </w:rPr>
            </w:pPr>
          </w:p>
          <w:p w14:paraId="751E5E72" w14:textId="57C97BAC" w:rsidR="008D511C" w:rsidRDefault="008D511C" w:rsidP="008D511C">
            <w:pPr>
              <w:overflowPunct/>
              <w:autoSpaceDE/>
              <w:autoSpaceDN/>
              <w:adjustRightInd/>
              <w:textAlignment w:val="auto"/>
              <w:rPr>
                <w:rFonts w:ascii="Calibri" w:hAnsi="Calibri"/>
                <w:bCs/>
                <w:szCs w:val="22"/>
                <w:lang w:val="en"/>
              </w:rPr>
            </w:pPr>
            <w:r>
              <w:rPr>
                <w:rFonts w:ascii="Calibri" w:hAnsi="Calibri"/>
                <w:bCs/>
                <w:szCs w:val="22"/>
              </w:rPr>
              <w:t xml:space="preserve">The site is located at Stonyhurst College, partially within the Grade II Listed </w:t>
            </w:r>
            <w:r w:rsidRPr="008D511C">
              <w:rPr>
                <w:rFonts w:ascii="Calibri" w:hAnsi="Calibri"/>
                <w:bCs/>
                <w:szCs w:val="22"/>
                <w:lang w:val="en"/>
              </w:rPr>
              <w:t>The ‘Shireburn Quadrangle, Ambulacrum and former Laboratories’</w:t>
            </w:r>
            <w:r>
              <w:rPr>
                <w:rFonts w:ascii="Calibri" w:hAnsi="Calibri"/>
                <w:bCs/>
                <w:szCs w:val="22"/>
                <w:lang w:val="en"/>
              </w:rPr>
              <w:t>.</w:t>
            </w:r>
          </w:p>
          <w:p w14:paraId="6F4E240E" w14:textId="77777777" w:rsidR="008D511C" w:rsidRDefault="008D511C" w:rsidP="008D511C">
            <w:pPr>
              <w:overflowPunct/>
              <w:autoSpaceDE/>
              <w:autoSpaceDN/>
              <w:adjustRightInd/>
              <w:textAlignment w:val="auto"/>
              <w:rPr>
                <w:rFonts w:ascii="Calibri" w:hAnsi="Calibri"/>
                <w:bCs/>
                <w:szCs w:val="22"/>
                <w:lang w:val="en"/>
              </w:rPr>
            </w:pPr>
          </w:p>
          <w:p w14:paraId="55E630F5" w14:textId="291A4176" w:rsidR="008D511C" w:rsidRPr="008D511C" w:rsidRDefault="008D511C" w:rsidP="008D511C">
            <w:pPr>
              <w:overflowPunct/>
              <w:autoSpaceDE/>
              <w:autoSpaceDN/>
              <w:adjustRightInd/>
              <w:textAlignment w:val="auto"/>
              <w:rPr>
                <w:rFonts w:ascii="Calibri" w:hAnsi="Calibri"/>
                <w:bCs/>
                <w:szCs w:val="22"/>
                <w:lang w:val="en"/>
              </w:rPr>
            </w:pPr>
            <w:r w:rsidRPr="008D511C">
              <w:rPr>
                <w:rFonts w:ascii="Calibri" w:hAnsi="Calibri"/>
                <w:bCs/>
                <w:szCs w:val="22"/>
                <w:lang w:val="en"/>
              </w:rPr>
              <w:lastRenderedPageBreak/>
              <w:t>The list description identifies:</w:t>
            </w:r>
          </w:p>
          <w:p w14:paraId="7AF10077" w14:textId="77777777" w:rsidR="008D511C" w:rsidRPr="008D511C" w:rsidRDefault="008D511C" w:rsidP="008D511C">
            <w:pPr>
              <w:overflowPunct/>
              <w:autoSpaceDE/>
              <w:autoSpaceDN/>
              <w:adjustRightInd/>
              <w:jc w:val="both"/>
              <w:textAlignment w:val="auto"/>
              <w:rPr>
                <w:rFonts w:ascii="Calibri" w:hAnsi="Calibri"/>
                <w:bCs/>
                <w:szCs w:val="22"/>
                <w:lang w:val="en"/>
              </w:rPr>
            </w:pPr>
          </w:p>
          <w:p w14:paraId="0AABD0CA" w14:textId="77777777" w:rsidR="008D511C" w:rsidRDefault="008D511C" w:rsidP="008D511C">
            <w:pPr>
              <w:overflowPunct/>
              <w:autoSpaceDE/>
              <w:autoSpaceDN/>
              <w:adjustRightInd/>
              <w:jc w:val="both"/>
              <w:textAlignment w:val="auto"/>
              <w:rPr>
                <w:rFonts w:ascii="Calibri" w:hAnsi="Calibri"/>
                <w:bCs/>
                <w:i/>
                <w:iCs/>
                <w:szCs w:val="22"/>
                <w:lang w:val="en"/>
              </w:rPr>
            </w:pPr>
            <w:r w:rsidRPr="008D511C">
              <w:rPr>
                <w:rFonts w:ascii="Calibri" w:hAnsi="Calibri"/>
                <w:bCs/>
                <w:i/>
                <w:iCs/>
                <w:szCs w:val="22"/>
                <w:lang w:val="en"/>
              </w:rPr>
              <w:t>“SHIREBURN QUADRANGLE: NORTH RANGE, 1699 for Sir Nicholas Shireburn, extended to west c1860 in similar style, altered to north-east corner c1922. EAST RANGE c1700, extended to south c1810 for Jesuits. KITCHEN BLOCK 1862. AMBULACRUM: 1849-52, by J.A. Hansom. ART DEPARTMENT: c1861”.</w:t>
            </w:r>
          </w:p>
          <w:p w14:paraId="29A209A2" w14:textId="77777777" w:rsidR="008D511C" w:rsidRDefault="008D511C" w:rsidP="008D511C">
            <w:pPr>
              <w:overflowPunct/>
              <w:autoSpaceDE/>
              <w:autoSpaceDN/>
              <w:adjustRightInd/>
              <w:jc w:val="both"/>
              <w:textAlignment w:val="auto"/>
              <w:rPr>
                <w:rFonts w:ascii="Calibri" w:hAnsi="Calibri"/>
                <w:bCs/>
                <w:i/>
                <w:iCs/>
                <w:szCs w:val="22"/>
                <w:lang w:val="en"/>
              </w:rPr>
            </w:pPr>
          </w:p>
          <w:p w14:paraId="7D2343F1" w14:textId="6CD4D3F3" w:rsidR="008D511C" w:rsidRDefault="008D511C" w:rsidP="008D511C">
            <w:pPr>
              <w:overflowPunct/>
              <w:autoSpaceDE/>
              <w:autoSpaceDN/>
              <w:adjustRightInd/>
              <w:jc w:val="both"/>
              <w:textAlignment w:val="auto"/>
              <w:rPr>
                <w:rFonts w:ascii="Calibri" w:hAnsi="Calibri"/>
                <w:bCs/>
                <w:szCs w:val="22"/>
                <w:lang w:val="en"/>
              </w:rPr>
            </w:pPr>
            <w:r w:rsidRPr="008D511C">
              <w:rPr>
                <w:rFonts w:ascii="Calibri" w:hAnsi="Calibri"/>
                <w:bCs/>
                <w:szCs w:val="22"/>
              </w:rPr>
              <w:t>The site is</w:t>
            </w:r>
            <w:r w:rsidR="00D413D4">
              <w:rPr>
                <w:rFonts w:ascii="Calibri" w:hAnsi="Calibri"/>
                <w:bCs/>
                <w:szCs w:val="22"/>
              </w:rPr>
              <w:t xml:space="preserve"> also</w:t>
            </w:r>
            <w:r w:rsidRPr="008D511C">
              <w:rPr>
                <w:rFonts w:ascii="Calibri" w:hAnsi="Calibri"/>
                <w:bCs/>
                <w:szCs w:val="22"/>
              </w:rPr>
              <w:t xml:space="preserve"> within the setting of other </w:t>
            </w:r>
            <w:r>
              <w:rPr>
                <w:rFonts w:ascii="Calibri" w:hAnsi="Calibri"/>
                <w:bCs/>
                <w:szCs w:val="22"/>
              </w:rPr>
              <w:t>listed buildings within the College,</w:t>
            </w:r>
            <w:r w:rsidRPr="008D511C">
              <w:rPr>
                <w:rFonts w:ascii="Calibri" w:hAnsi="Calibri"/>
                <w:bCs/>
                <w:szCs w:val="22"/>
              </w:rPr>
              <w:t xml:space="preserve"> including the immediate setting of ‘Old Quadrangle’ (Grade I) and ‘</w:t>
            </w:r>
            <w:r w:rsidRPr="008D511C">
              <w:rPr>
                <w:rFonts w:ascii="Calibri" w:hAnsi="Calibri"/>
                <w:bCs/>
                <w:szCs w:val="22"/>
                <w:lang w:val="en"/>
              </w:rPr>
              <w:t>South Front, Boys' Chapel and Shirk’ (Grade II*)</w:t>
            </w:r>
            <w:r w:rsidR="00D413D4">
              <w:rPr>
                <w:rFonts w:ascii="Calibri" w:hAnsi="Calibri"/>
                <w:bCs/>
                <w:szCs w:val="22"/>
                <w:lang w:val="en"/>
              </w:rPr>
              <w:t xml:space="preserve"> and is</w:t>
            </w:r>
            <w:r>
              <w:rPr>
                <w:rFonts w:ascii="Calibri" w:hAnsi="Calibri"/>
                <w:bCs/>
                <w:szCs w:val="22"/>
                <w:lang w:val="en"/>
              </w:rPr>
              <w:t xml:space="preserve"> located within the </w:t>
            </w:r>
            <w:r w:rsidRPr="008D511C">
              <w:rPr>
                <w:rFonts w:ascii="Calibri" w:hAnsi="Calibri"/>
                <w:bCs/>
                <w:szCs w:val="22"/>
                <w:lang w:val="en"/>
              </w:rPr>
              <w:t xml:space="preserve">Stonyhurst College </w:t>
            </w:r>
            <w:r>
              <w:rPr>
                <w:rFonts w:ascii="Calibri" w:hAnsi="Calibri"/>
                <w:bCs/>
                <w:szCs w:val="22"/>
                <w:lang w:val="en"/>
              </w:rPr>
              <w:t>H</w:t>
            </w:r>
            <w:r w:rsidRPr="008D511C">
              <w:rPr>
                <w:rFonts w:ascii="Calibri" w:hAnsi="Calibri"/>
                <w:bCs/>
                <w:szCs w:val="22"/>
                <w:lang w:val="en"/>
              </w:rPr>
              <w:t xml:space="preserve">istoric Park and </w:t>
            </w:r>
            <w:r>
              <w:rPr>
                <w:rFonts w:ascii="Calibri" w:hAnsi="Calibri"/>
                <w:bCs/>
                <w:szCs w:val="22"/>
                <w:lang w:val="en"/>
              </w:rPr>
              <w:t>G</w:t>
            </w:r>
            <w:r w:rsidRPr="008D511C">
              <w:rPr>
                <w:rFonts w:ascii="Calibri" w:hAnsi="Calibri"/>
                <w:bCs/>
                <w:szCs w:val="22"/>
                <w:lang w:val="en"/>
              </w:rPr>
              <w:t>arden (Grade II*).</w:t>
            </w:r>
          </w:p>
          <w:p w14:paraId="62370E9F" w14:textId="7C759D16" w:rsidR="00C0704D" w:rsidRPr="006C2BFA" w:rsidRDefault="00C0704D" w:rsidP="008D511C">
            <w:pPr>
              <w:overflowPunct/>
              <w:autoSpaceDE/>
              <w:autoSpaceDN/>
              <w:adjustRightInd/>
              <w:jc w:val="both"/>
              <w:textAlignment w:val="auto"/>
              <w:rPr>
                <w:rFonts w:ascii="Calibri" w:hAnsi="Calibri"/>
                <w:bCs/>
                <w:szCs w:val="22"/>
              </w:rPr>
            </w:pPr>
          </w:p>
        </w:tc>
      </w:tr>
      <w:tr w:rsidR="00C0704D" w:rsidRPr="00D2449B" w14:paraId="408C6380"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87C4893" w14:textId="062BBEA2" w:rsidR="00A623E0" w:rsidRDefault="00725068" w:rsidP="00CC4B47">
            <w:pPr>
              <w:rPr>
                <w:rFonts w:ascii="Calibri" w:hAnsi="Calibri"/>
                <w:szCs w:val="22"/>
              </w:rPr>
            </w:pPr>
            <w:r>
              <w:rPr>
                <w:rFonts w:ascii="Calibri" w:hAnsi="Calibri"/>
                <w:szCs w:val="22"/>
              </w:rPr>
              <w:t>The proposed development is for the refurbishments of the male and female WC and shower rooms which include the creation of a new opening within an existing wall within the female bathrooms for access purposes. In addition, a new opening would also be created for the service duct.</w:t>
            </w:r>
          </w:p>
          <w:p w14:paraId="1790D970" w14:textId="77777777" w:rsidR="00725068" w:rsidRDefault="00725068" w:rsidP="00CC4B47">
            <w:pPr>
              <w:rPr>
                <w:rFonts w:ascii="Calibri" w:hAnsi="Calibri"/>
                <w:szCs w:val="22"/>
              </w:rPr>
            </w:pPr>
          </w:p>
          <w:p w14:paraId="2B48268F" w14:textId="77777777" w:rsidR="00725068" w:rsidRDefault="00725068" w:rsidP="00CC4B47">
            <w:pPr>
              <w:rPr>
                <w:rFonts w:ascii="Calibri" w:hAnsi="Calibri"/>
                <w:szCs w:val="22"/>
              </w:rPr>
            </w:pPr>
            <w:r>
              <w:rPr>
                <w:rFonts w:ascii="Calibri" w:hAnsi="Calibri"/>
                <w:szCs w:val="22"/>
              </w:rPr>
              <w:t xml:space="preserve">In the male bathrooms, the works comprise the refurbishment and refit of the toilets and showers. This would involve the introduction of a false ceiling and to install shower ‘pods’ which would be fitted to the existing ceiling. </w:t>
            </w:r>
          </w:p>
          <w:p w14:paraId="260AE17F" w14:textId="77777777" w:rsidR="00725068" w:rsidRDefault="00725068" w:rsidP="00CC4B47">
            <w:pPr>
              <w:rPr>
                <w:rFonts w:ascii="Calibri" w:hAnsi="Calibri"/>
                <w:szCs w:val="22"/>
              </w:rPr>
            </w:pPr>
          </w:p>
          <w:p w14:paraId="4E0A14ED" w14:textId="0DCF99E4" w:rsidR="00725068" w:rsidRDefault="00725068" w:rsidP="00CC4B47">
            <w:pPr>
              <w:rPr>
                <w:rFonts w:ascii="Calibri" w:hAnsi="Calibri"/>
                <w:szCs w:val="22"/>
              </w:rPr>
            </w:pPr>
            <w:r>
              <w:rPr>
                <w:rFonts w:ascii="Calibri" w:hAnsi="Calibri"/>
                <w:szCs w:val="22"/>
              </w:rPr>
              <w:t xml:space="preserve">New partition walls are also proposed in both the male and female shower rooms to accommodate he accessible WC and shower. </w:t>
            </w:r>
            <w:r w:rsidR="008038FB">
              <w:rPr>
                <w:rFonts w:ascii="Calibri" w:hAnsi="Calibri"/>
                <w:szCs w:val="22"/>
              </w:rPr>
              <w:t>The existing vanity units would be removed and replaced with a lime mortar and a smaller size vanity unit encased in timber.</w:t>
            </w:r>
          </w:p>
          <w:p w14:paraId="4F68E164" w14:textId="77777777" w:rsidR="008038FB" w:rsidRDefault="008038FB" w:rsidP="00CC4B47">
            <w:pPr>
              <w:rPr>
                <w:rFonts w:ascii="Calibri" w:hAnsi="Calibri"/>
                <w:szCs w:val="22"/>
              </w:rPr>
            </w:pPr>
          </w:p>
          <w:p w14:paraId="7511F99F" w14:textId="77777777" w:rsidR="008038FB" w:rsidRDefault="008038FB" w:rsidP="00CC4B47">
            <w:pPr>
              <w:rPr>
                <w:rFonts w:ascii="Calibri" w:hAnsi="Calibri"/>
                <w:szCs w:val="22"/>
              </w:rPr>
            </w:pPr>
            <w:r>
              <w:rPr>
                <w:rFonts w:ascii="Calibri" w:hAnsi="Calibri"/>
                <w:szCs w:val="22"/>
              </w:rPr>
              <w:t>As a result of the works, some of the tiled wall finishes would be removed that surround the toilets and washrooms. Some of these are cracked and are considered in poor condition. These would be replaced with a lime mortar plaster considerate of previous finishes. In addition, the existing floor finishes would be replaced with a new vinyl floor finish. The submitted Construction Method Statement notes that the proposed toilet and shower facilities are manufactured off site and would be brought onto site. In addition, ceiling finishes would remain the same as existing but would be required to meet new building regulation standards and as such would be repaired where required and redecorated to match the existing ceiling colour.</w:t>
            </w:r>
          </w:p>
          <w:p w14:paraId="1B20488F" w14:textId="613AEC78" w:rsidR="008038FB" w:rsidRPr="00D54E67" w:rsidRDefault="008038FB" w:rsidP="00CC4B47">
            <w:pPr>
              <w:rPr>
                <w:rFonts w:ascii="Calibri" w:hAnsi="Calibri"/>
                <w:szCs w:val="22"/>
              </w:rPr>
            </w:pPr>
          </w:p>
        </w:tc>
      </w:tr>
      <w:tr w:rsidR="008542DE" w:rsidRPr="00D2449B" w14:paraId="2540EE5C"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469FEEC" w:rsidR="008542DE" w:rsidRPr="00D06CAA" w:rsidRDefault="008542DE" w:rsidP="008542DE">
            <w:pPr>
              <w:pStyle w:val="Header"/>
              <w:tabs>
                <w:tab w:val="clear" w:pos="4153"/>
                <w:tab w:val="clear" w:pos="8306"/>
              </w:tabs>
              <w:contextualSpacing/>
              <w:jc w:val="both"/>
              <w:rPr>
                <w:rFonts w:asciiTheme="minorHAnsi" w:hAnsiTheme="minorHAnsi" w:cstheme="minorHAnsi"/>
                <w:b/>
                <w:szCs w:val="22"/>
              </w:rPr>
            </w:pPr>
            <w:r w:rsidRPr="00D06CAA">
              <w:rPr>
                <w:rFonts w:asciiTheme="minorHAnsi" w:hAnsiTheme="minorHAnsi" w:cstheme="minorHAnsi"/>
                <w:b/>
                <w:szCs w:val="22"/>
              </w:rPr>
              <w:t>Impact upon Listed Buildings and Setting:</w:t>
            </w:r>
          </w:p>
          <w:p w14:paraId="6A2BDA66" w14:textId="0E8E55C7" w:rsidR="008542DE" w:rsidRPr="00D06CAA" w:rsidRDefault="008542DE" w:rsidP="0046548C">
            <w:pPr>
              <w:contextualSpacing/>
              <w:rPr>
                <w:rFonts w:asciiTheme="minorHAnsi" w:hAnsiTheme="minorHAnsi" w:cstheme="minorHAnsi"/>
                <w:b/>
              </w:rPr>
            </w:pPr>
          </w:p>
          <w:p w14:paraId="390A0C26" w14:textId="01CF8470" w:rsidR="00CC4B47" w:rsidRPr="00D06CAA" w:rsidRDefault="00CC4B47" w:rsidP="00CC4B47">
            <w:pPr>
              <w:rPr>
                <w:rFonts w:asciiTheme="minorHAnsi" w:hAnsiTheme="minorHAnsi" w:cstheme="minorHAnsi"/>
                <w:szCs w:val="22"/>
              </w:rPr>
            </w:pPr>
            <w:r w:rsidRPr="00D06CAA">
              <w:rPr>
                <w:rFonts w:asciiTheme="minorHAnsi" w:hAnsiTheme="minorHAnsi" w:cstheme="minorHAnsi"/>
                <w:szCs w:val="22"/>
              </w:rPr>
              <w:t xml:space="preserve">The </w:t>
            </w:r>
            <w:r w:rsidR="00A623E0">
              <w:rPr>
                <w:rFonts w:asciiTheme="minorHAnsi" w:hAnsiTheme="minorHAnsi" w:cstheme="minorHAnsi"/>
                <w:szCs w:val="22"/>
              </w:rPr>
              <w:t xml:space="preserve">building </w:t>
            </w:r>
            <w:r w:rsidR="00C34C6C" w:rsidRPr="00D06CAA">
              <w:rPr>
                <w:rFonts w:asciiTheme="minorHAnsi" w:hAnsiTheme="minorHAnsi" w:cstheme="minorHAnsi"/>
                <w:szCs w:val="22"/>
              </w:rPr>
              <w:t xml:space="preserve">is </w:t>
            </w:r>
            <w:r w:rsidRPr="00D06CAA">
              <w:rPr>
                <w:rFonts w:asciiTheme="minorHAnsi" w:hAnsiTheme="minorHAnsi" w:cstheme="minorHAnsi"/>
                <w:szCs w:val="22"/>
              </w:rPr>
              <w:t xml:space="preserve">Grade II listed </w:t>
            </w:r>
            <w:r w:rsidR="00EF3E77">
              <w:rPr>
                <w:rFonts w:asciiTheme="minorHAnsi" w:hAnsiTheme="minorHAnsi" w:cstheme="minorHAnsi"/>
                <w:szCs w:val="22"/>
              </w:rPr>
              <w:t xml:space="preserve">and makes an </w:t>
            </w:r>
            <w:r w:rsidRPr="00D06CAA">
              <w:rPr>
                <w:rFonts w:asciiTheme="minorHAnsi" w:hAnsiTheme="minorHAnsi" w:cstheme="minorHAnsi"/>
                <w:szCs w:val="22"/>
              </w:rPr>
              <w:t xml:space="preserve">important contribution to the </w:t>
            </w:r>
            <w:r w:rsidR="00E94CCB">
              <w:rPr>
                <w:rFonts w:asciiTheme="minorHAnsi" w:hAnsiTheme="minorHAnsi" w:cstheme="minorHAnsi"/>
                <w:szCs w:val="22"/>
              </w:rPr>
              <w:t>Grade II* Registered Historic Park and Garden.</w:t>
            </w:r>
          </w:p>
          <w:p w14:paraId="63086AD2" w14:textId="77777777" w:rsidR="00D06CAA" w:rsidRPr="00D06CAA" w:rsidRDefault="00D06CAA" w:rsidP="00CC4B47">
            <w:pPr>
              <w:rPr>
                <w:rFonts w:asciiTheme="minorHAnsi" w:hAnsiTheme="minorHAnsi" w:cstheme="minorHAnsi"/>
                <w:szCs w:val="22"/>
              </w:rPr>
            </w:pPr>
          </w:p>
          <w:p w14:paraId="36844805" w14:textId="77777777" w:rsidR="00D06CAA" w:rsidRPr="00D06CAA" w:rsidRDefault="00D06CAA" w:rsidP="00D06CAA">
            <w:pPr>
              <w:rPr>
                <w:rFonts w:asciiTheme="minorHAnsi" w:hAnsiTheme="minorHAnsi" w:cstheme="minorHAnsi"/>
                <w:szCs w:val="22"/>
              </w:rPr>
            </w:pPr>
            <w:r w:rsidRPr="00D06CAA">
              <w:rPr>
                <w:rFonts w:asciiTheme="minorHAnsi" w:hAnsiTheme="minorHAnsi" w:cstheme="minorHAnsi"/>
                <w:szCs w:val="22"/>
              </w:rPr>
              <w:t>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0BCBB692" w14:textId="77777777" w:rsidR="00D06CAA" w:rsidRPr="00D06CAA" w:rsidRDefault="00D06CAA" w:rsidP="00D06CAA">
            <w:pPr>
              <w:rPr>
                <w:rFonts w:asciiTheme="minorHAnsi" w:hAnsiTheme="minorHAnsi" w:cstheme="minorHAnsi"/>
                <w:szCs w:val="22"/>
              </w:rPr>
            </w:pPr>
          </w:p>
          <w:p w14:paraId="55CCE5DF" w14:textId="76DE19D0" w:rsidR="00D06CAA" w:rsidRPr="00D06CAA" w:rsidRDefault="00D06CAA" w:rsidP="00D06CAA">
            <w:pPr>
              <w:rPr>
                <w:rFonts w:asciiTheme="minorHAnsi" w:hAnsiTheme="minorHAnsi" w:cstheme="minorHAnsi"/>
                <w:szCs w:val="22"/>
              </w:rPr>
            </w:pPr>
            <w:r w:rsidRPr="00D06CAA">
              <w:rPr>
                <w:rFonts w:asciiTheme="minorHAnsi" w:hAnsiTheme="minorHAnsi" w:cstheme="minorHAnsi"/>
                <w:szCs w:val="22"/>
              </w:rPr>
              <w:t>Key Statement EN5 states that:</w:t>
            </w:r>
          </w:p>
          <w:p w14:paraId="309B7E3E" w14:textId="77777777" w:rsidR="00D06CAA" w:rsidRPr="00D06CAA" w:rsidRDefault="00D06CAA" w:rsidP="00D06CAA">
            <w:pPr>
              <w:rPr>
                <w:rFonts w:asciiTheme="minorHAnsi" w:hAnsiTheme="minorHAnsi" w:cstheme="minorHAnsi"/>
                <w:szCs w:val="22"/>
              </w:rPr>
            </w:pPr>
          </w:p>
          <w:p w14:paraId="5846EF62" w14:textId="77777777" w:rsidR="00D06CAA" w:rsidRPr="00E94CCB" w:rsidRDefault="00D06CAA" w:rsidP="00D06CAA">
            <w:pPr>
              <w:rPr>
                <w:rFonts w:asciiTheme="minorHAnsi" w:hAnsiTheme="minorHAnsi" w:cstheme="minorHAnsi"/>
                <w:i/>
                <w:iCs/>
                <w:szCs w:val="22"/>
              </w:rPr>
            </w:pPr>
            <w:r w:rsidRPr="00E94CCB">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532E5FCF" w14:textId="77777777" w:rsidR="00D06CAA" w:rsidRPr="00D06CAA" w:rsidRDefault="00D06CAA" w:rsidP="00D06CAA">
            <w:pPr>
              <w:rPr>
                <w:rFonts w:asciiTheme="minorHAnsi" w:hAnsiTheme="minorHAnsi" w:cstheme="minorHAnsi"/>
                <w:szCs w:val="22"/>
              </w:rPr>
            </w:pPr>
          </w:p>
          <w:p w14:paraId="1E7F2D48" w14:textId="77C7DD12" w:rsidR="00D06CAA" w:rsidRPr="00D06CAA" w:rsidRDefault="00D06CAA" w:rsidP="00D06CAA">
            <w:pPr>
              <w:rPr>
                <w:rFonts w:asciiTheme="minorHAnsi" w:hAnsiTheme="minorHAnsi" w:cstheme="minorHAnsi"/>
                <w:szCs w:val="22"/>
              </w:rPr>
            </w:pPr>
            <w:r w:rsidRPr="00D06CAA">
              <w:rPr>
                <w:rFonts w:asciiTheme="minorHAnsi" w:hAnsiTheme="minorHAnsi" w:cstheme="minorHAnsi"/>
                <w:szCs w:val="22"/>
              </w:rPr>
              <w:t>With Policy DME4 stating, in respect of development within conservation areas or those affecting the listed buildings or their setting, that development will be assessed on the following basis:</w:t>
            </w:r>
          </w:p>
          <w:p w14:paraId="3E059425" w14:textId="77777777" w:rsidR="00D06CAA" w:rsidRPr="00480A46" w:rsidRDefault="00D06CAA" w:rsidP="00D06CAA">
            <w:pPr>
              <w:rPr>
                <w:rFonts w:asciiTheme="minorHAnsi" w:hAnsiTheme="minorHAnsi" w:cstheme="minorHAnsi"/>
                <w:szCs w:val="22"/>
              </w:rPr>
            </w:pPr>
          </w:p>
          <w:p w14:paraId="1A8D98D1" w14:textId="676D8254" w:rsidR="00D06CAA" w:rsidRPr="00480A46" w:rsidRDefault="00480A46" w:rsidP="00D06CAA">
            <w:pPr>
              <w:jc w:val="both"/>
              <w:rPr>
                <w:rFonts w:asciiTheme="minorHAnsi" w:hAnsiTheme="minorHAnsi" w:cstheme="minorHAnsi"/>
                <w:b/>
                <w:bCs/>
                <w:i/>
                <w:iCs/>
                <w:szCs w:val="22"/>
              </w:rPr>
            </w:pPr>
            <w:r w:rsidRPr="00480A46">
              <w:rPr>
                <w:rFonts w:asciiTheme="minorHAnsi" w:hAnsiTheme="minorHAnsi" w:cstheme="minorHAnsi"/>
                <w:b/>
                <w:bCs/>
                <w:i/>
                <w:iCs/>
                <w:szCs w:val="22"/>
              </w:rPr>
              <w:lastRenderedPageBreak/>
              <w:t xml:space="preserve">2: </w:t>
            </w:r>
            <w:r w:rsidR="00CB3543">
              <w:rPr>
                <w:rFonts w:asciiTheme="minorHAnsi" w:hAnsiTheme="minorHAnsi" w:cstheme="minorHAnsi"/>
                <w:b/>
                <w:bCs/>
                <w:i/>
                <w:iCs/>
                <w:szCs w:val="22"/>
              </w:rPr>
              <w:t>L</w:t>
            </w:r>
            <w:r w:rsidRPr="00480A46">
              <w:rPr>
                <w:rFonts w:asciiTheme="minorHAnsi" w:hAnsiTheme="minorHAnsi" w:cstheme="minorHAnsi"/>
                <w:b/>
                <w:bCs/>
                <w:i/>
                <w:iCs/>
                <w:szCs w:val="22"/>
              </w:rPr>
              <w:t xml:space="preserve">isted </w:t>
            </w:r>
            <w:r w:rsidR="00CB3543">
              <w:rPr>
                <w:rFonts w:asciiTheme="minorHAnsi" w:hAnsiTheme="minorHAnsi" w:cstheme="minorHAnsi"/>
                <w:b/>
                <w:bCs/>
                <w:i/>
                <w:iCs/>
                <w:szCs w:val="22"/>
              </w:rPr>
              <w:t>B</w:t>
            </w:r>
            <w:r w:rsidRPr="00480A46">
              <w:rPr>
                <w:rFonts w:asciiTheme="minorHAnsi" w:hAnsiTheme="minorHAnsi" w:cstheme="minorHAnsi"/>
                <w:b/>
                <w:bCs/>
                <w:i/>
                <w:iCs/>
                <w:szCs w:val="22"/>
              </w:rPr>
              <w:t>uildings and other buildings of significant heritage interest</w:t>
            </w:r>
          </w:p>
          <w:p w14:paraId="452C4D23" w14:textId="77777777" w:rsidR="00D06CAA" w:rsidRPr="006A262A" w:rsidRDefault="00D06CAA" w:rsidP="00D06CAA">
            <w:pPr>
              <w:jc w:val="both"/>
              <w:rPr>
                <w:rFonts w:asciiTheme="minorHAnsi" w:hAnsiTheme="minorHAnsi" w:cstheme="minorHAnsi"/>
                <w:i/>
                <w:iCs/>
                <w:szCs w:val="22"/>
              </w:rPr>
            </w:pPr>
          </w:p>
          <w:p w14:paraId="4F980EEE" w14:textId="77777777" w:rsidR="00D06CAA" w:rsidRDefault="00D06CAA" w:rsidP="00D06CAA">
            <w:pPr>
              <w:jc w:val="both"/>
              <w:rPr>
                <w:rFonts w:asciiTheme="minorHAnsi" w:hAnsiTheme="minorHAnsi" w:cstheme="minorHAnsi"/>
                <w:i/>
                <w:iCs/>
                <w:szCs w:val="22"/>
              </w:rPr>
            </w:pPr>
            <w:r w:rsidRPr="006A262A">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2D298CBD" w14:textId="77777777" w:rsidR="00E94CCB" w:rsidRDefault="00E94CCB" w:rsidP="00D06CAA">
            <w:pPr>
              <w:jc w:val="both"/>
              <w:rPr>
                <w:rFonts w:asciiTheme="minorHAnsi" w:hAnsiTheme="minorHAnsi" w:cstheme="minorHAnsi"/>
                <w:i/>
                <w:iCs/>
                <w:szCs w:val="22"/>
              </w:rPr>
            </w:pPr>
          </w:p>
          <w:p w14:paraId="338F47A5" w14:textId="1046A99F" w:rsidR="00CB3543" w:rsidRDefault="00CB3543" w:rsidP="00CB3543">
            <w:pPr>
              <w:jc w:val="both"/>
              <w:rPr>
                <w:rFonts w:asciiTheme="minorHAnsi" w:hAnsiTheme="minorHAnsi" w:cstheme="minorHAnsi"/>
                <w:b/>
                <w:bCs/>
                <w:i/>
                <w:iCs/>
                <w:szCs w:val="22"/>
              </w:rPr>
            </w:pPr>
            <w:r w:rsidRPr="00CB3543">
              <w:rPr>
                <w:rFonts w:asciiTheme="minorHAnsi" w:hAnsiTheme="minorHAnsi" w:cstheme="minorHAnsi"/>
                <w:b/>
                <w:bCs/>
                <w:i/>
                <w:iCs/>
                <w:szCs w:val="22"/>
              </w:rPr>
              <w:t>3</w:t>
            </w:r>
            <w:r>
              <w:rPr>
                <w:rFonts w:asciiTheme="minorHAnsi" w:hAnsiTheme="minorHAnsi" w:cstheme="minorHAnsi"/>
                <w:b/>
                <w:bCs/>
                <w:i/>
                <w:iCs/>
                <w:szCs w:val="22"/>
              </w:rPr>
              <w:t>:</w:t>
            </w:r>
            <w:r w:rsidRPr="00CB3543">
              <w:rPr>
                <w:rFonts w:asciiTheme="minorHAnsi" w:hAnsiTheme="minorHAnsi" w:cstheme="minorHAnsi"/>
                <w:b/>
                <w:bCs/>
                <w:i/>
                <w:iCs/>
                <w:szCs w:val="22"/>
              </w:rPr>
              <w:t xml:space="preserve"> </w:t>
            </w:r>
            <w:r>
              <w:rPr>
                <w:rFonts w:asciiTheme="minorHAnsi" w:hAnsiTheme="minorHAnsi" w:cstheme="minorHAnsi"/>
                <w:b/>
                <w:bCs/>
                <w:i/>
                <w:iCs/>
                <w:szCs w:val="22"/>
              </w:rPr>
              <w:t>R</w:t>
            </w:r>
            <w:r w:rsidRPr="00CB3543">
              <w:rPr>
                <w:rFonts w:asciiTheme="minorHAnsi" w:hAnsiTheme="minorHAnsi" w:cstheme="minorHAnsi"/>
                <w:b/>
                <w:bCs/>
                <w:i/>
                <w:iCs/>
                <w:szCs w:val="22"/>
              </w:rPr>
              <w:t xml:space="preserve">egistered </w:t>
            </w:r>
            <w:r>
              <w:rPr>
                <w:rFonts w:asciiTheme="minorHAnsi" w:hAnsiTheme="minorHAnsi" w:cstheme="minorHAnsi"/>
                <w:b/>
                <w:bCs/>
                <w:i/>
                <w:iCs/>
                <w:szCs w:val="22"/>
              </w:rPr>
              <w:t>H</w:t>
            </w:r>
            <w:r w:rsidRPr="00CB3543">
              <w:rPr>
                <w:rFonts w:asciiTheme="minorHAnsi" w:hAnsiTheme="minorHAnsi" w:cstheme="minorHAnsi"/>
                <w:b/>
                <w:bCs/>
                <w:i/>
                <w:iCs/>
                <w:szCs w:val="22"/>
              </w:rPr>
              <w:t xml:space="preserve">istoric </w:t>
            </w:r>
            <w:r>
              <w:rPr>
                <w:rFonts w:asciiTheme="minorHAnsi" w:hAnsiTheme="minorHAnsi" w:cstheme="minorHAnsi"/>
                <w:b/>
                <w:bCs/>
                <w:i/>
                <w:iCs/>
                <w:szCs w:val="22"/>
              </w:rPr>
              <w:t>P</w:t>
            </w:r>
            <w:r w:rsidRPr="00CB3543">
              <w:rPr>
                <w:rFonts w:asciiTheme="minorHAnsi" w:hAnsiTheme="minorHAnsi" w:cstheme="minorHAnsi"/>
                <w:b/>
                <w:bCs/>
                <w:i/>
                <w:iCs/>
                <w:szCs w:val="22"/>
              </w:rPr>
              <w:t xml:space="preserve">arks and </w:t>
            </w:r>
            <w:r>
              <w:rPr>
                <w:rFonts w:asciiTheme="minorHAnsi" w:hAnsiTheme="minorHAnsi" w:cstheme="minorHAnsi"/>
                <w:b/>
                <w:bCs/>
                <w:i/>
                <w:iCs/>
                <w:szCs w:val="22"/>
              </w:rPr>
              <w:t>G</w:t>
            </w:r>
            <w:r w:rsidRPr="00CB3543">
              <w:rPr>
                <w:rFonts w:asciiTheme="minorHAnsi" w:hAnsiTheme="minorHAnsi" w:cstheme="minorHAnsi"/>
                <w:b/>
                <w:bCs/>
                <w:i/>
                <w:iCs/>
                <w:szCs w:val="22"/>
              </w:rPr>
              <w:t>ardens of special historic interest and other gardens</w:t>
            </w:r>
            <w:r>
              <w:rPr>
                <w:rFonts w:asciiTheme="minorHAnsi" w:hAnsiTheme="minorHAnsi" w:cstheme="minorHAnsi"/>
                <w:b/>
                <w:bCs/>
                <w:i/>
                <w:iCs/>
                <w:szCs w:val="22"/>
              </w:rPr>
              <w:t xml:space="preserve"> </w:t>
            </w:r>
            <w:r w:rsidRPr="00CB3543">
              <w:rPr>
                <w:rFonts w:asciiTheme="minorHAnsi" w:hAnsiTheme="minorHAnsi" w:cstheme="minorHAnsi"/>
                <w:b/>
                <w:bCs/>
                <w:i/>
                <w:iCs/>
                <w:szCs w:val="22"/>
              </w:rPr>
              <w:t>of significant heritage interest</w:t>
            </w:r>
          </w:p>
          <w:p w14:paraId="6E651DA8" w14:textId="77777777" w:rsidR="00CB3543" w:rsidRPr="00CB3543" w:rsidRDefault="00CB3543" w:rsidP="00CB3543">
            <w:pPr>
              <w:jc w:val="both"/>
              <w:rPr>
                <w:rFonts w:asciiTheme="minorHAnsi" w:hAnsiTheme="minorHAnsi" w:cstheme="minorHAnsi"/>
                <w:b/>
                <w:bCs/>
                <w:i/>
                <w:iCs/>
                <w:szCs w:val="22"/>
              </w:rPr>
            </w:pPr>
          </w:p>
          <w:p w14:paraId="2B7289DB" w14:textId="09A307B3" w:rsidR="00E94CCB" w:rsidRPr="006A262A" w:rsidRDefault="00CB3543" w:rsidP="00CB3543">
            <w:pPr>
              <w:jc w:val="both"/>
              <w:rPr>
                <w:rFonts w:asciiTheme="minorHAnsi" w:hAnsiTheme="minorHAnsi" w:cstheme="minorHAnsi"/>
                <w:i/>
                <w:iCs/>
                <w:szCs w:val="22"/>
              </w:rPr>
            </w:pPr>
            <w:r>
              <w:rPr>
                <w:rFonts w:asciiTheme="minorHAnsi" w:hAnsiTheme="minorHAnsi" w:cstheme="minorHAnsi"/>
                <w:i/>
                <w:iCs/>
                <w:szCs w:val="22"/>
              </w:rPr>
              <w:t>P</w:t>
            </w:r>
            <w:r w:rsidRPr="00CB3543">
              <w:rPr>
                <w:rFonts w:asciiTheme="minorHAnsi" w:hAnsiTheme="minorHAnsi" w:cstheme="minorHAnsi"/>
                <w:i/>
                <w:iCs/>
                <w:szCs w:val="22"/>
              </w:rPr>
              <w:t>roposals which cause harm to or loss of significance to registered parks, gardens or</w:t>
            </w:r>
            <w:r>
              <w:rPr>
                <w:rFonts w:asciiTheme="minorHAnsi" w:hAnsiTheme="minorHAnsi" w:cstheme="minorHAnsi"/>
                <w:i/>
                <w:iCs/>
                <w:szCs w:val="22"/>
              </w:rPr>
              <w:t xml:space="preserve"> </w:t>
            </w:r>
            <w:r w:rsidRPr="00CB3543">
              <w:rPr>
                <w:rFonts w:asciiTheme="minorHAnsi" w:hAnsiTheme="minorHAnsi" w:cstheme="minorHAnsi"/>
                <w:i/>
                <w:iCs/>
                <w:szCs w:val="22"/>
              </w:rPr>
              <w:t>landscapes of special historic interest or other gardens of significant local heritage</w:t>
            </w:r>
            <w:r>
              <w:rPr>
                <w:rFonts w:asciiTheme="minorHAnsi" w:hAnsiTheme="minorHAnsi" w:cstheme="minorHAnsi"/>
                <w:i/>
                <w:iCs/>
                <w:szCs w:val="22"/>
              </w:rPr>
              <w:t xml:space="preserve"> </w:t>
            </w:r>
            <w:r w:rsidRPr="00CB3543">
              <w:rPr>
                <w:rFonts w:asciiTheme="minorHAnsi" w:hAnsiTheme="minorHAnsi" w:cstheme="minorHAnsi"/>
                <w:i/>
                <w:iCs/>
                <w:szCs w:val="22"/>
              </w:rPr>
              <w:t>interest, including their setting, will not be supported.</w:t>
            </w:r>
          </w:p>
          <w:p w14:paraId="1781AAC9" w14:textId="77777777" w:rsidR="00D06CAA" w:rsidRPr="006A262A" w:rsidRDefault="00D06CAA" w:rsidP="00D06CAA">
            <w:pPr>
              <w:contextualSpacing/>
              <w:rPr>
                <w:rFonts w:ascii="Calibri" w:hAnsi="Calibri"/>
                <w:b/>
              </w:rPr>
            </w:pPr>
          </w:p>
          <w:p w14:paraId="772F15CC" w14:textId="77777777" w:rsidR="00D06CAA" w:rsidRPr="006A262A" w:rsidRDefault="00D06CAA" w:rsidP="00D06CAA">
            <w:pPr>
              <w:contextualSpacing/>
              <w:jc w:val="both"/>
              <w:rPr>
                <w:rFonts w:ascii="Calibri" w:hAnsi="Calibri"/>
                <w:b/>
                <w:u w:val="single"/>
              </w:rPr>
            </w:pPr>
            <w:r w:rsidRPr="006A262A">
              <w:rPr>
                <w:rFonts w:ascii="Calibri" w:hAnsi="Calibri"/>
                <w:b/>
                <w:u w:val="single"/>
              </w:rPr>
              <w:t>Planning (Listed Building and Conservation Areas) Act 1990:</w:t>
            </w:r>
          </w:p>
          <w:p w14:paraId="6464296B" w14:textId="77777777" w:rsidR="00D06CAA" w:rsidRPr="006A262A" w:rsidRDefault="00D06CAA" w:rsidP="00D06CAA">
            <w:pPr>
              <w:contextualSpacing/>
              <w:jc w:val="both"/>
              <w:rPr>
                <w:rFonts w:ascii="Calibri" w:hAnsi="Calibri"/>
                <w:b/>
              </w:rPr>
            </w:pPr>
          </w:p>
          <w:p w14:paraId="7195E6E1" w14:textId="77777777" w:rsidR="00D06CAA" w:rsidRPr="006A262A" w:rsidRDefault="00D06CAA" w:rsidP="00D06CAA">
            <w:pPr>
              <w:contextualSpacing/>
              <w:jc w:val="both"/>
              <w:rPr>
                <w:rFonts w:ascii="Calibri" w:hAnsi="Calibri"/>
                <w:bCs/>
              </w:rPr>
            </w:pPr>
            <w:r w:rsidRPr="006A262A">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1EC72CFE" w14:textId="77777777" w:rsidR="00D06CAA" w:rsidRPr="006A262A" w:rsidRDefault="00D06CAA" w:rsidP="00D06CAA">
            <w:pPr>
              <w:contextualSpacing/>
              <w:jc w:val="both"/>
              <w:rPr>
                <w:rFonts w:ascii="Calibri" w:hAnsi="Calibri"/>
                <w:bCs/>
              </w:rPr>
            </w:pPr>
          </w:p>
          <w:p w14:paraId="537CDCB1" w14:textId="0A9CB457" w:rsidR="00D06CAA" w:rsidRDefault="00D06CAA" w:rsidP="00B0438F">
            <w:pPr>
              <w:rPr>
                <w:rFonts w:ascii="Calibri" w:hAnsi="Calibri"/>
                <w:bCs/>
              </w:rPr>
            </w:pPr>
            <w:r w:rsidRPr="006A262A">
              <w:rPr>
                <w:rFonts w:ascii="Calibri" w:hAnsi="Calibri"/>
                <w:bCs/>
              </w:rPr>
              <w:t>The principle statutory duty under the Planning (Listed Building and Conservation Areas) Act 1990 (as amended by s.58B (1) of Levelling-up and Regeneration Act 2023) is to preserve or enhance the special</w:t>
            </w:r>
            <w:r w:rsidR="00B0438F">
              <w:rPr>
                <w:rFonts w:ascii="Calibri" w:hAnsi="Calibri"/>
                <w:bCs/>
              </w:rPr>
              <w:t xml:space="preserve"> </w:t>
            </w:r>
          </w:p>
          <w:p w14:paraId="27A1ADD5" w14:textId="77777777" w:rsidR="00D06CAA" w:rsidRPr="006A262A" w:rsidRDefault="00D06CAA" w:rsidP="00D06CAA">
            <w:pPr>
              <w:contextualSpacing/>
              <w:jc w:val="both"/>
              <w:rPr>
                <w:rFonts w:ascii="Calibri" w:hAnsi="Calibri"/>
                <w:bCs/>
              </w:rPr>
            </w:pPr>
            <w:r w:rsidRPr="006A262A">
              <w:rPr>
                <w:rFonts w:ascii="Calibri" w:hAnsi="Calibri"/>
                <w:bCs/>
              </w:rPr>
              <w:t>character of heritage assets, including their setting.  As such, in determining applications that affect designated heritage assets, the authority must consider the duties contained within the principle Act which states the following;</w:t>
            </w:r>
          </w:p>
          <w:p w14:paraId="0096886B" w14:textId="77777777" w:rsidR="00D06CAA" w:rsidRPr="006A262A" w:rsidRDefault="00D06CAA" w:rsidP="00D06CAA">
            <w:pPr>
              <w:contextualSpacing/>
              <w:jc w:val="both"/>
              <w:rPr>
                <w:rFonts w:ascii="Calibri" w:hAnsi="Calibri"/>
                <w:b/>
              </w:rPr>
            </w:pPr>
          </w:p>
          <w:p w14:paraId="50D86E39" w14:textId="77777777" w:rsidR="00D06CAA" w:rsidRPr="006A262A" w:rsidRDefault="00D06CAA" w:rsidP="00D06CAA">
            <w:pPr>
              <w:contextualSpacing/>
              <w:jc w:val="both"/>
              <w:rPr>
                <w:rFonts w:ascii="Calibri" w:hAnsi="Calibri"/>
                <w:b/>
              </w:rPr>
            </w:pPr>
            <w:r w:rsidRPr="006A262A">
              <w:rPr>
                <w:rFonts w:ascii="Calibri" w:hAnsi="Calibri"/>
                <w:b/>
              </w:rPr>
              <w:t>Listed buildings - Section 16 (2) (as amended by s.58B of Levelling-up and Regeneration Act 2023):</w:t>
            </w:r>
          </w:p>
          <w:p w14:paraId="1A096F3B" w14:textId="77777777" w:rsidR="00D06CAA" w:rsidRPr="006A262A" w:rsidRDefault="00D06CAA" w:rsidP="00D06CAA">
            <w:pPr>
              <w:contextualSpacing/>
              <w:jc w:val="both"/>
              <w:rPr>
                <w:rFonts w:ascii="Calibri" w:hAnsi="Calibri"/>
                <w:bCs/>
              </w:rPr>
            </w:pPr>
            <w:r w:rsidRPr="006A26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76FCDAD6" w14:textId="77777777" w:rsidR="00D06CAA" w:rsidRPr="006A262A" w:rsidRDefault="00D06CAA" w:rsidP="00D06CAA">
            <w:pPr>
              <w:contextualSpacing/>
              <w:jc w:val="both"/>
              <w:rPr>
                <w:rFonts w:ascii="Calibri" w:hAnsi="Calibri"/>
                <w:bCs/>
              </w:rPr>
            </w:pPr>
          </w:p>
          <w:p w14:paraId="5D642A9E" w14:textId="78FA0D12" w:rsidR="00D06CAA" w:rsidRPr="006A262A" w:rsidRDefault="00D06CAA" w:rsidP="00D06CAA">
            <w:pPr>
              <w:contextualSpacing/>
              <w:jc w:val="both"/>
              <w:rPr>
                <w:rFonts w:ascii="Calibri" w:hAnsi="Calibri"/>
                <w:b/>
                <w:u w:val="single"/>
              </w:rPr>
            </w:pPr>
            <w:r w:rsidRPr="006A262A">
              <w:rPr>
                <w:rFonts w:ascii="Calibri" w:hAnsi="Calibri"/>
                <w:b/>
                <w:u w:val="single"/>
              </w:rPr>
              <w:t>National Planning Policy Framework (December 202</w:t>
            </w:r>
            <w:r w:rsidR="00011779">
              <w:rPr>
                <w:rFonts w:ascii="Calibri" w:hAnsi="Calibri"/>
                <w:b/>
                <w:u w:val="single"/>
              </w:rPr>
              <w:t>4</w:t>
            </w:r>
            <w:r w:rsidRPr="006A262A">
              <w:rPr>
                <w:rFonts w:ascii="Calibri" w:hAnsi="Calibri"/>
                <w:b/>
                <w:u w:val="single"/>
              </w:rPr>
              <w:t>):</w:t>
            </w:r>
          </w:p>
          <w:p w14:paraId="66C3D85F" w14:textId="77777777" w:rsidR="00D06CAA" w:rsidRPr="006A262A" w:rsidRDefault="00D06CAA" w:rsidP="00D06CAA">
            <w:pPr>
              <w:contextualSpacing/>
              <w:jc w:val="both"/>
              <w:rPr>
                <w:rFonts w:ascii="Calibri" w:hAnsi="Calibri"/>
                <w:bCs/>
              </w:rPr>
            </w:pPr>
          </w:p>
          <w:p w14:paraId="0250A0B6" w14:textId="77777777" w:rsidR="00D06CAA" w:rsidRPr="006A262A" w:rsidRDefault="00D06CAA" w:rsidP="00D06CAA">
            <w:pPr>
              <w:contextualSpacing/>
              <w:jc w:val="both"/>
              <w:rPr>
                <w:rFonts w:ascii="Calibri" w:hAnsi="Calibri"/>
                <w:bCs/>
                <w:i/>
                <w:iCs/>
              </w:rPr>
            </w:pPr>
            <w:r w:rsidRPr="006A262A">
              <w:rPr>
                <w:rFonts w:ascii="Calibri" w:hAnsi="Calibri"/>
                <w:bCs/>
              </w:rPr>
              <w:t>The National planning Policy Framework (NPPF) sets out further duties in respect of determining proposals that affect heritage assets stating that ‘i</w:t>
            </w:r>
            <w:r w:rsidRPr="006A262A">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6A3224AE" w14:textId="77777777" w:rsidR="00D06CAA" w:rsidRPr="006A262A" w:rsidRDefault="00D06CAA" w:rsidP="00D06CAA">
            <w:pPr>
              <w:contextualSpacing/>
              <w:rPr>
                <w:rFonts w:ascii="Calibri" w:hAnsi="Calibri"/>
                <w:b/>
              </w:rPr>
            </w:pPr>
          </w:p>
          <w:p w14:paraId="20B61AC1" w14:textId="6748F625" w:rsidR="00D06CAA" w:rsidRPr="006A262A" w:rsidRDefault="00D06CAA" w:rsidP="00D06CAA">
            <w:pPr>
              <w:contextualSpacing/>
              <w:rPr>
                <w:rFonts w:ascii="Calibri" w:hAnsi="Calibri"/>
                <w:bCs/>
              </w:rPr>
            </w:pPr>
            <w:r w:rsidRPr="006A262A">
              <w:rPr>
                <w:rFonts w:ascii="Calibri" w:hAnsi="Calibri"/>
                <w:bCs/>
              </w:rPr>
              <w:t>The Framework sets out further duties in respect of considering potential impacts upon designated heritage assets with Paragraphs 2</w:t>
            </w:r>
            <w:r w:rsidR="00011779">
              <w:rPr>
                <w:rFonts w:ascii="Calibri" w:hAnsi="Calibri"/>
                <w:bCs/>
              </w:rPr>
              <w:t>12</w:t>
            </w:r>
            <w:r w:rsidRPr="006A262A">
              <w:rPr>
                <w:rFonts w:ascii="Calibri" w:hAnsi="Calibri"/>
                <w:bCs/>
              </w:rPr>
              <w:t xml:space="preserve"> – 2</w:t>
            </w:r>
            <w:r w:rsidR="00011779">
              <w:rPr>
                <w:rFonts w:ascii="Calibri" w:hAnsi="Calibri"/>
                <w:bCs/>
              </w:rPr>
              <w:t>21</w:t>
            </w:r>
            <w:r w:rsidRPr="006A262A">
              <w:rPr>
                <w:rFonts w:ascii="Calibri" w:hAnsi="Calibri"/>
                <w:bCs/>
              </w:rPr>
              <w:t xml:space="preserve"> reading as follows:</w:t>
            </w:r>
          </w:p>
          <w:p w14:paraId="052D2C0B" w14:textId="77777777" w:rsidR="00D06CAA" w:rsidRPr="006A262A" w:rsidRDefault="00D06CAA" w:rsidP="00D06CAA">
            <w:pPr>
              <w:contextualSpacing/>
              <w:rPr>
                <w:rFonts w:ascii="Calibri" w:hAnsi="Calibri"/>
                <w:b/>
              </w:rPr>
            </w:pPr>
          </w:p>
          <w:p w14:paraId="465C653B" w14:textId="3FE753E7" w:rsidR="00D06CAA" w:rsidRPr="006A262A" w:rsidRDefault="00D06CAA" w:rsidP="00D06CAA">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w:t>
            </w:r>
            <w:r w:rsidR="00011779">
              <w:rPr>
                <w:rFonts w:asciiTheme="minorHAnsi" w:hAnsiTheme="minorHAnsi" w:cstheme="minorHAnsi"/>
                <w:i/>
                <w:iCs/>
                <w:color w:val="auto"/>
                <w:sz w:val="22"/>
                <w:szCs w:val="22"/>
              </w:rPr>
              <w:t>12</w:t>
            </w:r>
            <w:r w:rsidRPr="006A262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00011779" w:rsidRPr="00011779">
              <w:rPr>
                <w:rFonts w:asciiTheme="minorHAnsi" w:hAnsiTheme="minorHAnsi" w:cstheme="minorHAnsi"/>
                <w:i/>
                <w:iCs/>
                <w:color w:val="auto"/>
                <w:sz w:val="22"/>
                <w:szCs w:val="22"/>
              </w:rPr>
              <w:t>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w:t>
            </w:r>
            <w:r w:rsidRPr="006A262A">
              <w:rPr>
                <w:rFonts w:asciiTheme="minorHAnsi" w:hAnsiTheme="minorHAnsi" w:cstheme="minorHAnsi"/>
                <w:i/>
                <w:iCs/>
                <w:color w:val="auto"/>
                <w:sz w:val="22"/>
                <w:szCs w:val="22"/>
              </w:rPr>
              <w:t xml:space="preserve">. </w:t>
            </w:r>
          </w:p>
          <w:p w14:paraId="61A463C5" w14:textId="77777777" w:rsidR="00D06CAA" w:rsidRPr="006A262A" w:rsidRDefault="00D06CAA" w:rsidP="00D06CAA">
            <w:pPr>
              <w:pStyle w:val="Default"/>
              <w:jc w:val="both"/>
              <w:rPr>
                <w:rFonts w:asciiTheme="minorHAnsi" w:hAnsiTheme="minorHAnsi" w:cstheme="minorHAnsi"/>
                <w:i/>
                <w:iCs/>
                <w:color w:val="auto"/>
                <w:sz w:val="22"/>
                <w:szCs w:val="22"/>
              </w:rPr>
            </w:pPr>
          </w:p>
          <w:p w14:paraId="2A2DA9A6" w14:textId="093AF8C9" w:rsidR="00D06CAA" w:rsidRPr="006A262A" w:rsidRDefault="00D06CAA" w:rsidP="00D06CAA">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w:t>
            </w:r>
            <w:r w:rsidR="00011779">
              <w:rPr>
                <w:rFonts w:asciiTheme="minorHAnsi" w:hAnsiTheme="minorHAnsi" w:cstheme="minorHAnsi"/>
                <w:i/>
                <w:iCs/>
                <w:color w:val="auto"/>
                <w:sz w:val="22"/>
                <w:szCs w:val="22"/>
              </w:rPr>
              <w:t>13</w:t>
            </w:r>
            <w:r w:rsidRPr="006A262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Pr="006A262A">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34D21B19" w14:textId="77777777" w:rsidR="00D06CAA" w:rsidRPr="006A262A" w:rsidRDefault="00D06CAA" w:rsidP="00D06CAA">
            <w:pPr>
              <w:pStyle w:val="Default"/>
              <w:jc w:val="both"/>
              <w:rPr>
                <w:rFonts w:asciiTheme="minorHAnsi" w:hAnsiTheme="minorHAnsi" w:cstheme="minorHAnsi"/>
                <w:i/>
                <w:iCs/>
                <w:color w:val="auto"/>
                <w:sz w:val="22"/>
                <w:szCs w:val="22"/>
              </w:rPr>
            </w:pPr>
          </w:p>
          <w:p w14:paraId="7B666718" w14:textId="77777777" w:rsidR="00D06CAA" w:rsidRPr="006A262A" w:rsidRDefault="00D06CAA" w:rsidP="00D06CAA">
            <w:pPr>
              <w:pStyle w:val="Default"/>
              <w:numPr>
                <w:ilvl w:val="0"/>
                <w:numId w:val="6"/>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grade II listed buildings, or grade II registered parks or gardens, should be exceptional; </w:t>
            </w:r>
          </w:p>
          <w:p w14:paraId="228DFBD5" w14:textId="77777777" w:rsidR="00D06CAA" w:rsidRPr="006A262A" w:rsidRDefault="00D06CAA" w:rsidP="00D06CAA">
            <w:pPr>
              <w:pStyle w:val="Default"/>
              <w:numPr>
                <w:ilvl w:val="0"/>
                <w:numId w:val="6"/>
              </w:numPr>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3C02D473" w14:textId="77777777" w:rsidR="00D06CAA" w:rsidRPr="006A262A" w:rsidRDefault="00D06CAA" w:rsidP="00D06CAA">
            <w:pPr>
              <w:pStyle w:val="Default"/>
              <w:jc w:val="both"/>
              <w:rPr>
                <w:rFonts w:asciiTheme="minorHAnsi" w:hAnsiTheme="minorHAnsi" w:cstheme="minorHAnsi"/>
                <w:i/>
                <w:iCs/>
                <w:color w:val="auto"/>
                <w:sz w:val="22"/>
                <w:szCs w:val="22"/>
              </w:rPr>
            </w:pPr>
          </w:p>
          <w:p w14:paraId="4B9C4333" w14:textId="65D4763C" w:rsidR="00D06CAA" w:rsidRDefault="00D06CAA" w:rsidP="00D06CAA">
            <w:pPr>
              <w:pStyle w:val="Default"/>
              <w:jc w:val="both"/>
              <w:rPr>
                <w:rFonts w:asciiTheme="minorHAnsi" w:hAnsiTheme="minorHAnsi" w:cstheme="minorHAnsi"/>
                <w:i/>
                <w:iCs/>
                <w:color w:val="auto"/>
                <w:sz w:val="22"/>
                <w:szCs w:val="22"/>
              </w:rPr>
            </w:pPr>
            <w:r w:rsidRPr="006A262A">
              <w:rPr>
                <w:rFonts w:asciiTheme="minorHAnsi" w:hAnsiTheme="minorHAnsi" w:cstheme="minorHAnsi"/>
                <w:i/>
                <w:iCs/>
                <w:color w:val="auto"/>
                <w:sz w:val="22"/>
                <w:szCs w:val="22"/>
              </w:rPr>
              <w:t>2</w:t>
            </w:r>
            <w:r w:rsidR="00011779">
              <w:rPr>
                <w:rFonts w:asciiTheme="minorHAnsi" w:hAnsiTheme="minorHAnsi" w:cstheme="minorHAnsi"/>
                <w:i/>
                <w:iCs/>
                <w:color w:val="auto"/>
                <w:sz w:val="22"/>
                <w:szCs w:val="22"/>
              </w:rPr>
              <w:t>14</w:t>
            </w:r>
            <w:r w:rsidRPr="006A262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Pr="006A262A">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64CA76D7" w14:textId="77777777" w:rsidR="00D06CAA" w:rsidRPr="00D06CAA" w:rsidRDefault="00D06CAA" w:rsidP="00D06CAA">
            <w:pPr>
              <w:pStyle w:val="Default"/>
              <w:jc w:val="both"/>
              <w:rPr>
                <w:rFonts w:asciiTheme="minorHAnsi" w:hAnsiTheme="minorHAnsi" w:cstheme="minorHAnsi"/>
                <w:i/>
                <w:iCs/>
                <w:color w:val="auto"/>
                <w:sz w:val="22"/>
                <w:szCs w:val="22"/>
              </w:rPr>
            </w:pPr>
          </w:p>
          <w:p w14:paraId="463E0C91" w14:textId="77777777"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a)</w:t>
            </w:r>
            <w:r w:rsidRPr="00D06CAA">
              <w:rPr>
                <w:rFonts w:asciiTheme="minorHAnsi" w:hAnsiTheme="minorHAnsi" w:cstheme="minorHAnsi"/>
                <w:i/>
                <w:iCs/>
                <w:color w:val="auto"/>
                <w:sz w:val="22"/>
                <w:szCs w:val="22"/>
              </w:rPr>
              <w:tab/>
              <w:t xml:space="preserve">the nature of the heritage asset prevents all reasonable uses of the site; and </w:t>
            </w:r>
          </w:p>
          <w:p w14:paraId="5574F72F" w14:textId="77777777"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b)</w:t>
            </w:r>
            <w:r w:rsidRPr="00D06CAA">
              <w:rPr>
                <w:rFonts w:asciiTheme="minorHAnsi" w:hAnsiTheme="minorHAnsi" w:cstheme="minorHAnsi"/>
                <w:i/>
                <w:iCs/>
                <w:color w:val="auto"/>
                <w:sz w:val="22"/>
                <w:szCs w:val="22"/>
              </w:rPr>
              <w:tab/>
              <w:t xml:space="preserve">no viable use of the heritage asset itself can be found in the medium term through appropriate marketing that will enable its conservation; and </w:t>
            </w:r>
          </w:p>
          <w:p w14:paraId="033B9E1E" w14:textId="77777777"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c)</w:t>
            </w:r>
            <w:r w:rsidRPr="00D06CAA">
              <w:rPr>
                <w:rFonts w:asciiTheme="minorHAnsi" w:hAnsiTheme="minorHAnsi" w:cstheme="minorHAnsi"/>
                <w:i/>
                <w:iCs/>
                <w:color w:val="auto"/>
                <w:sz w:val="22"/>
                <w:szCs w:val="22"/>
              </w:rPr>
              <w:tab/>
              <w:t xml:space="preserve">conservation by grant-funding or some form of not for profit, charitable or public ownership is demonstrably not possible; and </w:t>
            </w:r>
          </w:p>
          <w:p w14:paraId="212DA8C9" w14:textId="77777777"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d)</w:t>
            </w:r>
            <w:r w:rsidRPr="00D06CAA">
              <w:rPr>
                <w:rFonts w:asciiTheme="minorHAnsi" w:hAnsiTheme="minorHAnsi" w:cstheme="minorHAnsi"/>
                <w:i/>
                <w:iCs/>
                <w:color w:val="auto"/>
                <w:sz w:val="22"/>
                <w:szCs w:val="22"/>
              </w:rPr>
              <w:tab/>
              <w:t xml:space="preserve">the harm or loss is outweighed by the benefit of bringing the site back into use. </w:t>
            </w:r>
          </w:p>
          <w:p w14:paraId="6FB0F039" w14:textId="77777777" w:rsidR="00D06CAA" w:rsidRPr="00D06CAA" w:rsidRDefault="00D06CAA" w:rsidP="00D06CAA">
            <w:pPr>
              <w:pStyle w:val="Default"/>
              <w:jc w:val="both"/>
              <w:rPr>
                <w:rFonts w:asciiTheme="minorHAnsi" w:hAnsiTheme="minorHAnsi" w:cstheme="minorHAnsi"/>
                <w:i/>
                <w:iCs/>
                <w:color w:val="auto"/>
                <w:sz w:val="22"/>
                <w:szCs w:val="22"/>
              </w:rPr>
            </w:pPr>
          </w:p>
          <w:p w14:paraId="07F74A42" w14:textId="5BDB2997"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2</w:t>
            </w:r>
            <w:r w:rsidR="00011779">
              <w:rPr>
                <w:rFonts w:asciiTheme="minorHAnsi" w:hAnsiTheme="minorHAnsi" w:cstheme="minorHAnsi"/>
                <w:i/>
                <w:iCs/>
                <w:color w:val="auto"/>
                <w:sz w:val="22"/>
                <w:szCs w:val="22"/>
              </w:rPr>
              <w:t>15</w:t>
            </w:r>
            <w:r w:rsidRPr="00D06CA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Pr="00D06CAA">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34E86F43" w14:textId="77777777" w:rsidR="00D06CAA" w:rsidRPr="00D06CAA" w:rsidRDefault="00D06CAA" w:rsidP="00D06CAA">
            <w:pPr>
              <w:pStyle w:val="Default"/>
              <w:jc w:val="both"/>
              <w:rPr>
                <w:rFonts w:asciiTheme="minorHAnsi" w:hAnsiTheme="minorHAnsi" w:cstheme="minorHAnsi"/>
                <w:i/>
                <w:iCs/>
                <w:color w:val="auto"/>
                <w:sz w:val="22"/>
                <w:szCs w:val="22"/>
              </w:rPr>
            </w:pPr>
          </w:p>
          <w:p w14:paraId="4E2A4BD2" w14:textId="52C4764B"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2</w:t>
            </w:r>
            <w:r w:rsidR="00011779">
              <w:rPr>
                <w:rFonts w:asciiTheme="minorHAnsi" w:hAnsiTheme="minorHAnsi" w:cstheme="minorHAnsi"/>
                <w:i/>
                <w:iCs/>
                <w:color w:val="auto"/>
                <w:sz w:val="22"/>
                <w:szCs w:val="22"/>
              </w:rPr>
              <w:t>16</w:t>
            </w:r>
            <w:r w:rsidRPr="00D06CA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Pr="00D06CAA">
              <w:rPr>
                <w:rFonts w:asciiTheme="minorHAnsi" w:hAnsiTheme="minorHAnsi" w:cstheme="minorHAnsi"/>
                <w:i/>
                <w:iCs/>
                <w:color w:val="auto"/>
                <w:sz w:val="22"/>
                <w:szCs w:val="22"/>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r w:rsidR="00011779" w:rsidRPr="00011779">
              <w:rPr>
                <w:rFonts w:asciiTheme="minorHAnsi" w:hAnsiTheme="minorHAnsi" w:cstheme="minorHAnsi"/>
                <w:i/>
                <w:iCs/>
                <w:color w:val="auto"/>
                <w:sz w:val="22"/>
                <w:szCs w:val="22"/>
              </w:rPr>
              <w:t>to the scale of any harm or loss and the significance of the heritage asset.</w:t>
            </w:r>
          </w:p>
          <w:p w14:paraId="47AB9F4A" w14:textId="77777777" w:rsidR="00D06CAA" w:rsidRPr="00D06CAA" w:rsidRDefault="00D06CAA" w:rsidP="00D06CAA">
            <w:pPr>
              <w:pStyle w:val="Default"/>
              <w:jc w:val="both"/>
              <w:rPr>
                <w:rFonts w:asciiTheme="minorHAnsi" w:hAnsiTheme="minorHAnsi" w:cstheme="minorHAnsi"/>
                <w:i/>
                <w:iCs/>
                <w:color w:val="auto"/>
                <w:sz w:val="22"/>
                <w:szCs w:val="22"/>
              </w:rPr>
            </w:pPr>
          </w:p>
          <w:p w14:paraId="1C4A0A1F" w14:textId="1A38D781"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21</w:t>
            </w:r>
            <w:r w:rsidR="00011779">
              <w:rPr>
                <w:rFonts w:asciiTheme="minorHAnsi" w:hAnsiTheme="minorHAnsi" w:cstheme="minorHAnsi"/>
                <w:i/>
                <w:iCs/>
                <w:color w:val="auto"/>
                <w:sz w:val="22"/>
                <w:szCs w:val="22"/>
              </w:rPr>
              <w:t>7</w:t>
            </w:r>
            <w:r w:rsidRPr="00D06CA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Pr="00D06CAA">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5F730F91" w14:textId="77777777" w:rsidR="00D06CAA" w:rsidRPr="00D06CAA" w:rsidRDefault="00D06CAA" w:rsidP="00D06CAA">
            <w:pPr>
              <w:pStyle w:val="Default"/>
              <w:jc w:val="both"/>
              <w:rPr>
                <w:rFonts w:asciiTheme="minorHAnsi" w:hAnsiTheme="minorHAnsi" w:cstheme="minorHAnsi"/>
                <w:i/>
                <w:iCs/>
                <w:color w:val="auto"/>
                <w:sz w:val="22"/>
                <w:szCs w:val="22"/>
              </w:rPr>
            </w:pPr>
          </w:p>
          <w:p w14:paraId="2EB2F1E0" w14:textId="30CC49CD"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21</w:t>
            </w:r>
            <w:r w:rsidR="00011779">
              <w:rPr>
                <w:rFonts w:asciiTheme="minorHAnsi" w:hAnsiTheme="minorHAnsi" w:cstheme="minorHAnsi"/>
                <w:i/>
                <w:iCs/>
                <w:color w:val="auto"/>
                <w:sz w:val="22"/>
                <w:szCs w:val="22"/>
              </w:rPr>
              <w:t>8</w:t>
            </w:r>
            <w:r w:rsidRPr="00D06CA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Pr="00D06CAA">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21F5E1AA" w14:textId="77777777" w:rsidR="00D06CAA" w:rsidRPr="00D06CAA" w:rsidRDefault="00D06CAA" w:rsidP="00D06CAA">
            <w:pPr>
              <w:pStyle w:val="Default"/>
              <w:jc w:val="both"/>
              <w:rPr>
                <w:rFonts w:asciiTheme="minorHAnsi" w:hAnsiTheme="minorHAnsi" w:cstheme="minorHAnsi"/>
                <w:i/>
                <w:iCs/>
                <w:color w:val="auto"/>
                <w:sz w:val="22"/>
                <w:szCs w:val="22"/>
              </w:rPr>
            </w:pPr>
          </w:p>
          <w:p w14:paraId="337389F8" w14:textId="073CF3C5"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21</w:t>
            </w:r>
            <w:r w:rsidR="00011779">
              <w:rPr>
                <w:rFonts w:asciiTheme="minorHAnsi" w:hAnsiTheme="minorHAnsi" w:cstheme="minorHAnsi"/>
                <w:i/>
                <w:iCs/>
                <w:color w:val="auto"/>
                <w:sz w:val="22"/>
                <w:szCs w:val="22"/>
              </w:rPr>
              <w:t>9</w:t>
            </w:r>
            <w:r w:rsidRPr="00D06CA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Pr="00D06CAA">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7280BFA4" w14:textId="77777777" w:rsidR="00D06CAA" w:rsidRPr="00D06CAA" w:rsidRDefault="00D06CAA" w:rsidP="00D06CAA">
            <w:pPr>
              <w:pStyle w:val="Default"/>
              <w:jc w:val="both"/>
              <w:rPr>
                <w:rFonts w:asciiTheme="minorHAnsi" w:hAnsiTheme="minorHAnsi" w:cstheme="minorHAnsi"/>
                <w:i/>
                <w:iCs/>
                <w:color w:val="auto"/>
                <w:sz w:val="22"/>
                <w:szCs w:val="22"/>
              </w:rPr>
            </w:pPr>
          </w:p>
          <w:p w14:paraId="7C80793B" w14:textId="006F82C4" w:rsidR="00D06CAA" w:rsidRPr="00D06CAA" w:rsidRDefault="00D06CAA" w:rsidP="00D06CAA">
            <w:pPr>
              <w:pStyle w:val="Default"/>
              <w:jc w:val="both"/>
              <w:rPr>
                <w:rFonts w:asciiTheme="minorHAnsi" w:hAnsiTheme="minorHAnsi" w:cstheme="minorHAnsi"/>
                <w:i/>
                <w:iCs/>
                <w:color w:val="auto"/>
                <w:sz w:val="22"/>
                <w:szCs w:val="22"/>
              </w:rPr>
            </w:pPr>
            <w:r w:rsidRPr="00D06CAA">
              <w:rPr>
                <w:rFonts w:asciiTheme="minorHAnsi" w:hAnsiTheme="minorHAnsi" w:cstheme="minorHAnsi"/>
                <w:i/>
                <w:iCs/>
                <w:color w:val="auto"/>
                <w:sz w:val="22"/>
                <w:szCs w:val="22"/>
              </w:rPr>
              <w:t>2</w:t>
            </w:r>
            <w:r w:rsidR="00011779">
              <w:rPr>
                <w:rFonts w:asciiTheme="minorHAnsi" w:hAnsiTheme="minorHAnsi" w:cstheme="minorHAnsi"/>
                <w:i/>
                <w:iCs/>
                <w:color w:val="auto"/>
                <w:sz w:val="22"/>
                <w:szCs w:val="22"/>
              </w:rPr>
              <w:t>20</w:t>
            </w:r>
            <w:r w:rsidRPr="00D06CAA">
              <w:rPr>
                <w:rFonts w:asciiTheme="minorHAnsi" w:hAnsiTheme="minorHAnsi" w:cstheme="minorHAnsi"/>
                <w:i/>
                <w:iCs/>
                <w:color w:val="auto"/>
                <w:sz w:val="22"/>
                <w:szCs w:val="22"/>
              </w:rPr>
              <w:t>:</w:t>
            </w:r>
            <w:r>
              <w:rPr>
                <w:rFonts w:asciiTheme="minorHAnsi" w:hAnsiTheme="minorHAnsi" w:cstheme="minorHAnsi"/>
                <w:i/>
                <w:iCs/>
                <w:color w:val="auto"/>
                <w:sz w:val="22"/>
                <w:szCs w:val="22"/>
              </w:rPr>
              <w:t xml:space="preserve"> </w:t>
            </w:r>
            <w:r w:rsidRPr="00D06CAA">
              <w:rPr>
                <w:rFonts w:asciiTheme="minorHAnsi" w:hAnsiTheme="minorHAnsi" w:cstheme="minorHAnsi"/>
                <w:i/>
                <w:iCs/>
                <w:color w:val="auto"/>
                <w:sz w:val="22"/>
                <w:szCs w:val="22"/>
              </w:rPr>
              <w:t>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w:t>
            </w:r>
            <w:r w:rsidR="00011779">
              <w:rPr>
                <w:rFonts w:asciiTheme="minorHAnsi" w:hAnsiTheme="minorHAnsi" w:cstheme="minorHAnsi"/>
                <w:i/>
                <w:iCs/>
                <w:color w:val="auto"/>
                <w:sz w:val="22"/>
                <w:szCs w:val="22"/>
              </w:rPr>
              <w:t>14</w:t>
            </w:r>
            <w:r w:rsidRPr="00D06CAA">
              <w:rPr>
                <w:rFonts w:asciiTheme="minorHAnsi" w:hAnsiTheme="minorHAnsi" w:cstheme="minorHAnsi"/>
                <w:i/>
                <w:iCs/>
                <w:color w:val="auto"/>
                <w:sz w:val="22"/>
                <w:szCs w:val="22"/>
              </w:rPr>
              <w:t xml:space="preserve"> or less than substantial harm under paragraph 2</w:t>
            </w:r>
            <w:r w:rsidR="00011779">
              <w:rPr>
                <w:rFonts w:asciiTheme="minorHAnsi" w:hAnsiTheme="minorHAnsi" w:cstheme="minorHAnsi"/>
                <w:i/>
                <w:iCs/>
                <w:color w:val="auto"/>
                <w:sz w:val="22"/>
                <w:szCs w:val="22"/>
              </w:rPr>
              <w:t>15</w:t>
            </w:r>
            <w:r w:rsidRPr="00D06CAA">
              <w:rPr>
                <w:rFonts w:asciiTheme="minorHAnsi" w:hAnsiTheme="minorHAnsi" w:cstheme="minorHAnsi"/>
                <w:i/>
                <w:iCs/>
                <w:color w:val="auto"/>
                <w:sz w:val="22"/>
                <w:szCs w:val="22"/>
              </w:rPr>
              <w:t>, as appropriate, taking into account the relative significance of the element affected and its contribution to the significance of the Conservation Area or World Heritage Site as a whole.</w:t>
            </w:r>
          </w:p>
          <w:p w14:paraId="67B7C6DD" w14:textId="77777777" w:rsidR="00D06CAA" w:rsidRPr="00D06CAA" w:rsidRDefault="00D06CAA" w:rsidP="00D06CAA">
            <w:pPr>
              <w:pStyle w:val="Default"/>
              <w:jc w:val="both"/>
              <w:rPr>
                <w:rFonts w:asciiTheme="minorHAnsi" w:hAnsiTheme="minorHAnsi" w:cstheme="minorHAnsi"/>
                <w:i/>
                <w:iCs/>
                <w:color w:val="auto"/>
                <w:sz w:val="22"/>
                <w:szCs w:val="22"/>
              </w:rPr>
            </w:pPr>
          </w:p>
          <w:p w14:paraId="02B4A750" w14:textId="105504FF" w:rsidR="00D06CAA" w:rsidRPr="00D06CAA" w:rsidRDefault="00D06CAA" w:rsidP="00D06CAA">
            <w:pPr>
              <w:pStyle w:val="Default"/>
              <w:jc w:val="both"/>
              <w:rPr>
                <w:rFonts w:asciiTheme="minorHAnsi" w:hAnsiTheme="minorHAnsi" w:cstheme="minorHAnsi"/>
                <w:b/>
                <w:bCs/>
                <w:i/>
                <w:iCs/>
                <w:color w:val="auto"/>
                <w:sz w:val="22"/>
                <w:szCs w:val="22"/>
              </w:rPr>
            </w:pPr>
            <w:r w:rsidRPr="00D06CAA">
              <w:rPr>
                <w:rFonts w:asciiTheme="minorHAnsi" w:hAnsiTheme="minorHAnsi" w:cstheme="minorHAnsi"/>
                <w:b/>
                <w:bCs/>
                <w:i/>
                <w:iCs/>
                <w:color w:val="auto"/>
                <w:sz w:val="22"/>
                <w:szCs w:val="22"/>
              </w:rPr>
              <w:t>Assessment of Impacts:</w:t>
            </w:r>
          </w:p>
          <w:p w14:paraId="31DDDE30" w14:textId="77777777" w:rsidR="00D06CAA" w:rsidRDefault="00D06CAA" w:rsidP="00D06CAA">
            <w:pPr>
              <w:ind w:left="720"/>
              <w:rPr>
                <w:rFonts w:cs="Arial"/>
                <w:szCs w:val="22"/>
              </w:rPr>
            </w:pPr>
          </w:p>
          <w:p w14:paraId="062A427F" w14:textId="1C6EB3A7" w:rsidR="00011779" w:rsidRPr="00011779" w:rsidRDefault="00F35EC4" w:rsidP="00011779">
            <w:pPr>
              <w:rPr>
                <w:rFonts w:asciiTheme="minorHAnsi" w:hAnsiTheme="minorHAnsi" w:cstheme="minorHAnsi"/>
                <w:szCs w:val="22"/>
              </w:rPr>
            </w:pPr>
            <w:r w:rsidRPr="00011779">
              <w:rPr>
                <w:rFonts w:asciiTheme="minorHAnsi" w:hAnsiTheme="minorHAnsi" w:cstheme="minorHAnsi"/>
                <w:szCs w:val="22"/>
              </w:rPr>
              <w:t xml:space="preserve">The Heritage and Conservation Officer </w:t>
            </w:r>
            <w:r w:rsidR="00011779" w:rsidRPr="00011779">
              <w:rPr>
                <w:rFonts w:asciiTheme="minorHAnsi" w:hAnsiTheme="minorHAnsi" w:cstheme="minorHAnsi"/>
                <w:szCs w:val="22"/>
              </w:rPr>
              <w:t xml:space="preserve">has reviewed the application documents and considered these against S16 of the Planning (Listed Building and Conservation Areas) Act 1990, the national policy guidance contained in Chapter 16 of the NPPF and the relevant Local Plan Policy DME4. </w:t>
            </w:r>
          </w:p>
          <w:p w14:paraId="1553EBF1" w14:textId="77777777" w:rsidR="00011779" w:rsidRPr="00011779" w:rsidRDefault="00011779" w:rsidP="00011779">
            <w:pPr>
              <w:rPr>
                <w:rFonts w:asciiTheme="minorHAnsi" w:hAnsiTheme="minorHAnsi" w:cstheme="minorHAnsi"/>
                <w:szCs w:val="22"/>
              </w:rPr>
            </w:pPr>
          </w:p>
          <w:p w14:paraId="2C71FA35" w14:textId="3042C2C3" w:rsidR="00F35EC4" w:rsidRDefault="00011779" w:rsidP="00011779">
            <w:pPr>
              <w:rPr>
                <w:rFonts w:asciiTheme="minorHAnsi" w:hAnsiTheme="minorHAnsi" w:cstheme="minorHAnsi"/>
                <w:szCs w:val="22"/>
              </w:rPr>
            </w:pPr>
            <w:r w:rsidRPr="00011779">
              <w:rPr>
                <w:rFonts w:asciiTheme="minorHAnsi" w:hAnsiTheme="minorHAnsi" w:cstheme="minorHAnsi"/>
                <w:szCs w:val="22"/>
              </w:rPr>
              <w:t xml:space="preserve">They consider that the proposed development comprising refurbishment of existing C20 bathrooms will cause no discernible harm to the listed building, as it will not involve removal of any historic fabric or alter </w:t>
            </w:r>
            <w:r w:rsidRPr="00011779">
              <w:rPr>
                <w:rFonts w:asciiTheme="minorHAnsi" w:hAnsiTheme="minorHAnsi" w:cstheme="minorHAnsi"/>
                <w:szCs w:val="22"/>
              </w:rPr>
              <w:lastRenderedPageBreak/>
              <w:t>the building in such a way that would affect its character. They note that the proposal involves refurbishment of C20 toilets and showers and creation of two openings into a modern wall. As such, they consider the proposal meets the objectives in the Act to preserve, and complies with the objectives contained in Chapter 16 of the NPPF and the Local Plan policy DME4.</w:t>
            </w:r>
          </w:p>
          <w:p w14:paraId="0EDE7BCC" w14:textId="77777777" w:rsidR="00C5030A" w:rsidRDefault="00C5030A" w:rsidP="00011779">
            <w:pPr>
              <w:rPr>
                <w:rFonts w:asciiTheme="minorHAnsi" w:hAnsiTheme="minorHAnsi" w:cstheme="minorHAnsi"/>
                <w:szCs w:val="22"/>
              </w:rPr>
            </w:pPr>
          </w:p>
          <w:p w14:paraId="16BCA581" w14:textId="3DF0FD59" w:rsidR="00C5030A" w:rsidRPr="00011779" w:rsidRDefault="00C5030A" w:rsidP="00011779">
            <w:pPr>
              <w:rPr>
                <w:rFonts w:asciiTheme="minorHAnsi" w:hAnsiTheme="minorHAnsi" w:cstheme="minorHAnsi"/>
                <w:szCs w:val="22"/>
              </w:rPr>
            </w:pPr>
            <w:r>
              <w:rPr>
                <w:rFonts w:asciiTheme="minorHAnsi" w:hAnsiTheme="minorHAnsi" w:cstheme="minorHAnsi"/>
                <w:szCs w:val="22"/>
              </w:rPr>
              <w:t xml:space="preserve">In addition, given that the works are internal works only, it is not considered that the proposal would </w:t>
            </w:r>
            <w:r w:rsidR="001A4A98">
              <w:rPr>
                <w:rFonts w:asciiTheme="minorHAnsi" w:hAnsiTheme="minorHAnsi" w:cstheme="minorHAnsi"/>
                <w:szCs w:val="22"/>
              </w:rPr>
              <w:t>harm</w:t>
            </w:r>
            <w:r>
              <w:rPr>
                <w:rFonts w:asciiTheme="minorHAnsi" w:hAnsiTheme="minorHAnsi" w:cstheme="minorHAnsi"/>
                <w:szCs w:val="22"/>
              </w:rPr>
              <w:t xml:space="preserve"> the</w:t>
            </w:r>
            <w:r w:rsidR="001A4A98">
              <w:rPr>
                <w:rFonts w:asciiTheme="minorHAnsi" w:hAnsiTheme="minorHAnsi" w:cstheme="minorHAnsi"/>
                <w:szCs w:val="22"/>
              </w:rPr>
              <w:t xml:space="preserve"> significance of the</w:t>
            </w:r>
            <w:r>
              <w:rPr>
                <w:rFonts w:asciiTheme="minorHAnsi" w:hAnsiTheme="minorHAnsi" w:cstheme="minorHAnsi"/>
                <w:szCs w:val="22"/>
              </w:rPr>
              <w:t xml:space="preserve"> Grade II* Registered Historic Park and Garden.</w:t>
            </w:r>
          </w:p>
          <w:p w14:paraId="1E1A5739" w14:textId="2B9895C0" w:rsidR="000223F9" w:rsidRPr="00011779" w:rsidRDefault="000223F9" w:rsidP="00F35EC4">
            <w:pPr>
              <w:rPr>
                <w:rFonts w:asciiTheme="minorHAnsi" w:hAnsiTheme="minorHAnsi" w:cstheme="minorHAnsi"/>
                <w:szCs w:val="22"/>
              </w:rPr>
            </w:pPr>
          </w:p>
          <w:p w14:paraId="5056A62A" w14:textId="77777777" w:rsidR="0046548C" w:rsidRPr="00011779" w:rsidRDefault="000223F9" w:rsidP="00011779">
            <w:pPr>
              <w:contextualSpacing/>
              <w:jc w:val="both"/>
              <w:rPr>
                <w:rFonts w:ascii="Calibri" w:hAnsi="Calibri"/>
                <w:szCs w:val="22"/>
              </w:rPr>
            </w:pPr>
            <w:r w:rsidRPr="00011779">
              <w:rPr>
                <w:rFonts w:ascii="Calibri" w:hAnsi="Calibri"/>
                <w:szCs w:val="22"/>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 16 </w:t>
            </w:r>
            <w:r w:rsidR="00E3388A" w:rsidRPr="00011779">
              <w:rPr>
                <w:rFonts w:ascii="Calibri" w:hAnsi="Calibri"/>
                <w:szCs w:val="22"/>
              </w:rPr>
              <w:t xml:space="preserve">and 66 </w:t>
            </w:r>
            <w:r w:rsidRPr="00011779">
              <w:rPr>
                <w:rFonts w:ascii="Calibri" w:hAnsi="Calibri"/>
                <w:szCs w:val="22"/>
              </w:rPr>
              <w:t xml:space="preserve">of the Planning (Listed Buildings and Conservation Areas) Act 1990 nor the National Planning Policy Framework.  </w:t>
            </w:r>
          </w:p>
          <w:p w14:paraId="632BE018" w14:textId="6FFC36F7" w:rsidR="00011779" w:rsidRPr="00011779" w:rsidRDefault="00011779" w:rsidP="00011779">
            <w:pPr>
              <w:contextualSpacing/>
              <w:jc w:val="both"/>
              <w:rPr>
                <w:rFonts w:ascii="Calibri" w:hAnsi="Calibri"/>
                <w:bCs/>
                <w:szCs w:val="22"/>
              </w:rPr>
            </w:pPr>
          </w:p>
        </w:tc>
      </w:tr>
      <w:tr w:rsidR="00C0704D" w:rsidRPr="00D2449B" w14:paraId="0A9D02B4" w14:textId="77777777" w:rsidTr="00AA5035">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091784F3" w14:textId="77777777" w:rsidR="001F68F9" w:rsidRPr="00E3388A" w:rsidRDefault="001F68F9" w:rsidP="00DD62F6">
            <w:pPr>
              <w:contextualSpacing/>
              <w:rPr>
                <w:rFonts w:asciiTheme="minorHAnsi" w:hAnsiTheme="minorHAnsi" w:cstheme="minorHAnsi"/>
                <w:bCs/>
                <w:color w:val="548DD4" w:themeColor="text2" w:themeTint="99"/>
                <w:szCs w:val="22"/>
              </w:rPr>
            </w:pPr>
          </w:p>
          <w:p w14:paraId="7E3806FF" w14:textId="5DA0F8A8" w:rsidR="00C0704D" w:rsidRPr="00E3388A" w:rsidRDefault="0046548C" w:rsidP="00DD62F6">
            <w:pPr>
              <w:pStyle w:val="Header"/>
              <w:tabs>
                <w:tab w:val="clear" w:pos="4153"/>
                <w:tab w:val="clear" w:pos="8306"/>
              </w:tabs>
              <w:contextualSpacing/>
              <w:jc w:val="both"/>
              <w:rPr>
                <w:rFonts w:asciiTheme="minorHAnsi" w:hAnsiTheme="minorHAnsi" w:cstheme="minorHAnsi"/>
                <w:bCs/>
                <w:szCs w:val="22"/>
              </w:rPr>
            </w:pPr>
            <w:r w:rsidRPr="000F3930">
              <w:rPr>
                <w:rFonts w:asciiTheme="minorHAnsi" w:hAnsiTheme="minorHAnsi" w:cstheme="minorHAnsi"/>
                <w:bCs/>
                <w:szCs w:val="22"/>
              </w:rPr>
              <w:t>As such and for the above reasons, having regard to all material considerations and matters raised,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A503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F3152E" w14:textId="2342FC1E" w:rsidR="00495303" w:rsidRPr="00E3388A" w:rsidRDefault="00495303" w:rsidP="00495303">
            <w:pPr>
              <w:rPr>
                <w:rFonts w:asciiTheme="minorHAnsi" w:hAnsiTheme="minorHAnsi" w:cstheme="minorHAnsi"/>
                <w:bCs/>
                <w:szCs w:val="22"/>
              </w:rPr>
            </w:pPr>
            <w:r w:rsidRPr="00E3388A">
              <w:rPr>
                <w:rFonts w:asciiTheme="minorHAnsi" w:hAnsiTheme="minorHAnsi" w:cstheme="minorHAnsi"/>
                <w:bCs/>
                <w:szCs w:val="22"/>
              </w:rPr>
              <w:t>That listing building consent be granted subject to the imposition of conditions.</w:t>
            </w:r>
          </w:p>
          <w:p w14:paraId="1B2AB573" w14:textId="75C11310" w:rsidR="00C0704D" w:rsidRPr="00D2449B" w:rsidRDefault="00C0704D" w:rsidP="00CD2CEF">
            <w:pPr>
              <w:rPr>
                <w:rFonts w:ascii="Calibri" w:hAnsi="Calibri"/>
                <w:bCs/>
                <w:szCs w:val="22"/>
              </w:rPr>
            </w:pPr>
          </w:p>
        </w:tc>
      </w:tr>
    </w:tbl>
    <w:p w14:paraId="513FB541" w14:textId="77777777" w:rsidR="00AA5035" w:rsidRPr="00D2449B" w:rsidRDefault="00AA5035">
      <w:pPr>
        <w:rPr>
          <w:rFonts w:ascii="Calibri" w:hAnsi="Calibri"/>
          <w:szCs w:val="22"/>
        </w:rPr>
      </w:pPr>
    </w:p>
    <w:sectPr w:rsidR="00AA503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34B13"/>
    <w:multiLevelType w:val="multilevel"/>
    <w:tmpl w:val="9D96FB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260D0A"/>
    <w:multiLevelType w:val="hybridMultilevel"/>
    <w:tmpl w:val="E5E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684D4B"/>
    <w:multiLevelType w:val="hybridMultilevel"/>
    <w:tmpl w:val="A63E0BC6"/>
    <w:lvl w:ilvl="0" w:tplc="947497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630817"/>
    <w:multiLevelType w:val="hybridMultilevel"/>
    <w:tmpl w:val="86D2BB5E"/>
    <w:lvl w:ilvl="0" w:tplc="26ECA4E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1548374880">
    <w:abstractNumId w:val="0"/>
  </w:num>
  <w:num w:numId="3" w16cid:durableId="185339712">
    <w:abstractNumId w:val="3"/>
  </w:num>
  <w:num w:numId="4" w16cid:durableId="991059854">
    <w:abstractNumId w:val="1"/>
  </w:num>
  <w:num w:numId="5" w16cid:durableId="1339118621">
    <w:abstractNumId w:val="4"/>
  </w:num>
  <w:num w:numId="6" w16cid:durableId="139201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779"/>
    <w:rsid w:val="000223F9"/>
    <w:rsid w:val="000631C0"/>
    <w:rsid w:val="0006601D"/>
    <w:rsid w:val="000B5CB5"/>
    <w:rsid w:val="000B7DB1"/>
    <w:rsid w:val="000E1F25"/>
    <w:rsid w:val="000E7279"/>
    <w:rsid w:val="000F3930"/>
    <w:rsid w:val="001118B4"/>
    <w:rsid w:val="00130035"/>
    <w:rsid w:val="001A4A98"/>
    <w:rsid w:val="001B7291"/>
    <w:rsid w:val="001D4F7A"/>
    <w:rsid w:val="001F68F9"/>
    <w:rsid w:val="00212F6D"/>
    <w:rsid w:val="00247443"/>
    <w:rsid w:val="00250879"/>
    <w:rsid w:val="002537EB"/>
    <w:rsid w:val="00276CD5"/>
    <w:rsid w:val="0029334A"/>
    <w:rsid w:val="002A01CF"/>
    <w:rsid w:val="002C6277"/>
    <w:rsid w:val="002F2580"/>
    <w:rsid w:val="002F72FA"/>
    <w:rsid w:val="00321B6E"/>
    <w:rsid w:val="00323A8C"/>
    <w:rsid w:val="00326AD1"/>
    <w:rsid w:val="003702FD"/>
    <w:rsid w:val="00393C32"/>
    <w:rsid w:val="003B3838"/>
    <w:rsid w:val="00440CB6"/>
    <w:rsid w:val="0046548C"/>
    <w:rsid w:val="00480A46"/>
    <w:rsid w:val="004947BB"/>
    <w:rsid w:val="00495303"/>
    <w:rsid w:val="004A5EA9"/>
    <w:rsid w:val="004C2434"/>
    <w:rsid w:val="004C2E43"/>
    <w:rsid w:val="004C62B3"/>
    <w:rsid w:val="004D00FC"/>
    <w:rsid w:val="004D7DD0"/>
    <w:rsid w:val="004F0649"/>
    <w:rsid w:val="004F60A5"/>
    <w:rsid w:val="00500FBD"/>
    <w:rsid w:val="00510FA2"/>
    <w:rsid w:val="00556ECD"/>
    <w:rsid w:val="005A7A4C"/>
    <w:rsid w:val="005B709A"/>
    <w:rsid w:val="005E1C6C"/>
    <w:rsid w:val="005E65DF"/>
    <w:rsid w:val="00602DEA"/>
    <w:rsid w:val="006042F7"/>
    <w:rsid w:val="00616D51"/>
    <w:rsid w:val="00664FA2"/>
    <w:rsid w:val="00675B24"/>
    <w:rsid w:val="00692B60"/>
    <w:rsid w:val="006A71AD"/>
    <w:rsid w:val="006B7F87"/>
    <w:rsid w:val="006C2BFA"/>
    <w:rsid w:val="006F6849"/>
    <w:rsid w:val="0070054B"/>
    <w:rsid w:val="00725068"/>
    <w:rsid w:val="00763A10"/>
    <w:rsid w:val="00776AE2"/>
    <w:rsid w:val="007B3154"/>
    <w:rsid w:val="007C201C"/>
    <w:rsid w:val="007C791C"/>
    <w:rsid w:val="007D7DF4"/>
    <w:rsid w:val="007E0D23"/>
    <w:rsid w:val="007F16D6"/>
    <w:rsid w:val="00802261"/>
    <w:rsid w:val="008038FB"/>
    <w:rsid w:val="008052AF"/>
    <w:rsid w:val="00811771"/>
    <w:rsid w:val="008542DE"/>
    <w:rsid w:val="008869D4"/>
    <w:rsid w:val="008A28C8"/>
    <w:rsid w:val="008D511C"/>
    <w:rsid w:val="008F7DE7"/>
    <w:rsid w:val="00932249"/>
    <w:rsid w:val="00934218"/>
    <w:rsid w:val="00937D1F"/>
    <w:rsid w:val="009462CA"/>
    <w:rsid w:val="00966CAD"/>
    <w:rsid w:val="0097239E"/>
    <w:rsid w:val="00973BD1"/>
    <w:rsid w:val="00997B64"/>
    <w:rsid w:val="009B181A"/>
    <w:rsid w:val="009E735D"/>
    <w:rsid w:val="00A07368"/>
    <w:rsid w:val="00A152FA"/>
    <w:rsid w:val="00A35EC8"/>
    <w:rsid w:val="00A364EF"/>
    <w:rsid w:val="00A42E82"/>
    <w:rsid w:val="00A579BB"/>
    <w:rsid w:val="00A623E0"/>
    <w:rsid w:val="00A63D55"/>
    <w:rsid w:val="00A81916"/>
    <w:rsid w:val="00A95D89"/>
    <w:rsid w:val="00AA5035"/>
    <w:rsid w:val="00AC3669"/>
    <w:rsid w:val="00AF5E2C"/>
    <w:rsid w:val="00B0438F"/>
    <w:rsid w:val="00B1069E"/>
    <w:rsid w:val="00B15436"/>
    <w:rsid w:val="00B1590F"/>
    <w:rsid w:val="00B16E21"/>
    <w:rsid w:val="00B93EB5"/>
    <w:rsid w:val="00B94797"/>
    <w:rsid w:val="00BB0349"/>
    <w:rsid w:val="00BD3F03"/>
    <w:rsid w:val="00BE2AAA"/>
    <w:rsid w:val="00C0704D"/>
    <w:rsid w:val="00C25722"/>
    <w:rsid w:val="00C34C6C"/>
    <w:rsid w:val="00C5030A"/>
    <w:rsid w:val="00C51074"/>
    <w:rsid w:val="00C618DB"/>
    <w:rsid w:val="00CA7A7E"/>
    <w:rsid w:val="00CB3543"/>
    <w:rsid w:val="00CC07F3"/>
    <w:rsid w:val="00CC29CB"/>
    <w:rsid w:val="00CC4B47"/>
    <w:rsid w:val="00D06CAA"/>
    <w:rsid w:val="00D11007"/>
    <w:rsid w:val="00D17EB1"/>
    <w:rsid w:val="00D2449B"/>
    <w:rsid w:val="00D413D4"/>
    <w:rsid w:val="00D54E67"/>
    <w:rsid w:val="00D6206F"/>
    <w:rsid w:val="00D97B0F"/>
    <w:rsid w:val="00DD2E18"/>
    <w:rsid w:val="00DD62F6"/>
    <w:rsid w:val="00DE7609"/>
    <w:rsid w:val="00DF4FC3"/>
    <w:rsid w:val="00E03640"/>
    <w:rsid w:val="00E3388A"/>
    <w:rsid w:val="00E46243"/>
    <w:rsid w:val="00E66534"/>
    <w:rsid w:val="00E72F6C"/>
    <w:rsid w:val="00E85D14"/>
    <w:rsid w:val="00E94CCB"/>
    <w:rsid w:val="00EA09F9"/>
    <w:rsid w:val="00EA1E0F"/>
    <w:rsid w:val="00EC23C7"/>
    <w:rsid w:val="00ED00B7"/>
    <w:rsid w:val="00EF3E77"/>
    <w:rsid w:val="00EF44E6"/>
    <w:rsid w:val="00F306C8"/>
    <w:rsid w:val="00F35EC4"/>
    <w:rsid w:val="00F7288B"/>
    <w:rsid w:val="00F74557"/>
    <w:rsid w:val="00F766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PLANNING2">
    <w:name w:val="PLANNING 2"/>
    <w:basedOn w:val="PLANNING"/>
    <w:qFormat/>
    <w:rsid w:val="00CC4B47"/>
    <w:pPr>
      <w:overflowPunct/>
      <w:autoSpaceDE/>
      <w:autoSpaceDN/>
      <w:adjustRightInd/>
      <w:ind w:left="1440" w:hanging="720"/>
      <w:textAlignment w:val="auto"/>
    </w:pPr>
    <w:rPr>
      <w:szCs w:val="24"/>
    </w:rPr>
  </w:style>
  <w:style w:type="paragraph" w:customStyle="1" w:styleId="Default">
    <w:name w:val="Default"/>
    <w:rsid w:val="00D06CA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5520">
      <w:bodyDiv w:val="1"/>
      <w:marLeft w:val="0"/>
      <w:marRight w:val="0"/>
      <w:marTop w:val="0"/>
      <w:marBottom w:val="0"/>
      <w:divBdr>
        <w:top w:val="none" w:sz="0" w:space="0" w:color="auto"/>
        <w:left w:val="none" w:sz="0" w:space="0" w:color="auto"/>
        <w:bottom w:val="none" w:sz="0" w:space="0" w:color="auto"/>
        <w:right w:val="none" w:sz="0" w:space="0" w:color="auto"/>
      </w:divBdr>
    </w:div>
    <w:div w:id="191312609">
      <w:bodyDiv w:val="1"/>
      <w:marLeft w:val="0"/>
      <w:marRight w:val="0"/>
      <w:marTop w:val="0"/>
      <w:marBottom w:val="0"/>
      <w:divBdr>
        <w:top w:val="none" w:sz="0" w:space="0" w:color="auto"/>
        <w:left w:val="none" w:sz="0" w:space="0" w:color="auto"/>
        <w:bottom w:val="none" w:sz="0" w:space="0" w:color="auto"/>
        <w:right w:val="none" w:sz="0" w:space="0" w:color="auto"/>
      </w:divBdr>
    </w:div>
    <w:div w:id="334303460">
      <w:bodyDiv w:val="1"/>
      <w:marLeft w:val="0"/>
      <w:marRight w:val="0"/>
      <w:marTop w:val="0"/>
      <w:marBottom w:val="0"/>
      <w:divBdr>
        <w:top w:val="none" w:sz="0" w:space="0" w:color="auto"/>
        <w:left w:val="none" w:sz="0" w:space="0" w:color="auto"/>
        <w:bottom w:val="none" w:sz="0" w:space="0" w:color="auto"/>
        <w:right w:val="none" w:sz="0" w:space="0" w:color="auto"/>
      </w:divBdr>
    </w:div>
    <w:div w:id="369962240">
      <w:bodyDiv w:val="1"/>
      <w:marLeft w:val="0"/>
      <w:marRight w:val="0"/>
      <w:marTop w:val="0"/>
      <w:marBottom w:val="0"/>
      <w:divBdr>
        <w:top w:val="none" w:sz="0" w:space="0" w:color="auto"/>
        <w:left w:val="none" w:sz="0" w:space="0" w:color="auto"/>
        <w:bottom w:val="none" w:sz="0" w:space="0" w:color="auto"/>
        <w:right w:val="none" w:sz="0" w:space="0" w:color="auto"/>
      </w:divBdr>
    </w:div>
    <w:div w:id="441152593">
      <w:bodyDiv w:val="1"/>
      <w:marLeft w:val="0"/>
      <w:marRight w:val="0"/>
      <w:marTop w:val="0"/>
      <w:marBottom w:val="0"/>
      <w:divBdr>
        <w:top w:val="none" w:sz="0" w:space="0" w:color="auto"/>
        <w:left w:val="none" w:sz="0" w:space="0" w:color="auto"/>
        <w:bottom w:val="none" w:sz="0" w:space="0" w:color="auto"/>
        <w:right w:val="none" w:sz="0" w:space="0" w:color="auto"/>
      </w:divBdr>
    </w:div>
    <w:div w:id="465704292">
      <w:bodyDiv w:val="1"/>
      <w:marLeft w:val="0"/>
      <w:marRight w:val="0"/>
      <w:marTop w:val="0"/>
      <w:marBottom w:val="0"/>
      <w:divBdr>
        <w:top w:val="none" w:sz="0" w:space="0" w:color="auto"/>
        <w:left w:val="none" w:sz="0" w:space="0" w:color="auto"/>
        <w:bottom w:val="none" w:sz="0" w:space="0" w:color="auto"/>
        <w:right w:val="none" w:sz="0" w:space="0" w:color="auto"/>
      </w:divBdr>
    </w:div>
    <w:div w:id="696540098">
      <w:bodyDiv w:val="1"/>
      <w:marLeft w:val="0"/>
      <w:marRight w:val="0"/>
      <w:marTop w:val="0"/>
      <w:marBottom w:val="0"/>
      <w:divBdr>
        <w:top w:val="none" w:sz="0" w:space="0" w:color="auto"/>
        <w:left w:val="none" w:sz="0" w:space="0" w:color="auto"/>
        <w:bottom w:val="none" w:sz="0" w:space="0" w:color="auto"/>
        <w:right w:val="none" w:sz="0" w:space="0" w:color="auto"/>
      </w:divBdr>
    </w:div>
    <w:div w:id="789741054">
      <w:bodyDiv w:val="1"/>
      <w:marLeft w:val="0"/>
      <w:marRight w:val="0"/>
      <w:marTop w:val="0"/>
      <w:marBottom w:val="0"/>
      <w:divBdr>
        <w:top w:val="none" w:sz="0" w:space="0" w:color="auto"/>
        <w:left w:val="none" w:sz="0" w:space="0" w:color="auto"/>
        <w:bottom w:val="none" w:sz="0" w:space="0" w:color="auto"/>
        <w:right w:val="none" w:sz="0" w:space="0" w:color="auto"/>
      </w:divBdr>
    </w:div>
    <w:div w:id="927883597">
      <w:bodyDiv w:val="1"/>
      <w:marLeft w:val="0"/>
      <w:marRight w:val="0"/>
      <w:marTop w:val="0"/>
      <w:marBottom w:val="0"/>
      <w:divBdr>
        <w:top w:val="none" w:sz="0" w:space="0" w:color="auto"/>
        <w:left w:val="none" w:sz="0" w:space="0" w:color="auto"/>
        <w:bottom w:val="none" w:sz="0" w:space="0" w:color="auto"/>
        <w:right w:val="none" w:sz="0" w:space="0" w:color="auto"/>
      </w:divBdr>
    </w:div>
    <w:div w:id="935938219">
      <w:bodyDiv w:val="1"/>
      <w:marLeft w:val="0"/>
      <w:marRight w:val="0"/>
      <w:marTop w:val="0"/>
      <w:marBottom w:val="0"/>
      <w:divBdr>
        <w:top w:val="none" w:sz="0" w:space="0" w:color="auto"/>
        <w:left w:val="none" w:sz="0" w:space="0" w:color="auto"/>
        <w:bottom w:val="none" w:sz="0" w:space="0" w:color="auto"/>
        <w:right w:val="none" w:sz="0" w:space="0" w:color="auto"/>
      </w:divBdr>
    </w:div>
    <w:div w:id="959654641">
      <w:bodyDiv w:val="1"/>
      <w:marLeft w:val="0"/>
      <w:marRight w:val="0"/>
      <w:marTop w:val="0"/>
      <w:marBottom w:val="0"/>
      <w:divBdr>
        <w:top w:val="none" w:sz="0" w:space="0" w:color="auto"/>
        <w:left w:val="none" w:sz="0" w:space="0" w:color="auto"/>
        <w:bottom w:val="none" w:sz="0" w:space="0" w:color="auto"/>
        <w:right w:val="none" w:sz="0" w:space="0" w:color="auto"/>
      </w:divBdr>
    </w:div>
    <w:div w:id="1091589067">
      <w:bodyDiv w:val="1"/>
      <w:marLeft w:val="0"/>
      <w:marRight w:val="0"/>
      <w:marTop w:val="0"/>
      <w:marBottom w:val="0"/>
      <w:divBdr>
        <w:top w:val="none" w:sz="0" w:space="0" w:color="auto"/>
        <w:left w:val="none" w:sz="0" w:space="0" w:color="auto"/>
        <w:bottom w:val="none" w:sz="0" w:space="0" w:color="auto"/>
        <w:right w:val="none" w:sz="0" w:space="0" w:color="auto"/>
      </w:divBdr>
    </w:div>
    <w:div w:id="1227688935">
      <w:bodyDiv w:val="1"/>
      <w:marLeft w:val="0"/>
      <w:marRight w:val="0"/>
      <w:marTop w:val="0"/>
      <w:marBottom w:val="0"/>
      <w:divBdr>
        <w:top w:val="none" w:sz="0" w:space="0" w:color="auto"/>
        <w:left w:val="none" w:sz="0" w:space="0" w:color="auto"/>
        <w:bottom w:val="none" w:sz="0" w:space="0" w:color="auto"/>
        <w:right w:val="none" w:sz="0" w:space="0" w:color="auto"/>
      </w:divBdr>
    </w:div>
    <w:div w:id="1312562341">
      <w:bodyDiv w:val="1"/>
      <w:marLeft w:val="0"/>
      <w:marRight w:val="0"/>
      <w:marTop w:val="0"/>
      <w:marBottom w:val="0"/>
      <w:divBdr>
        <w:top w:val="none" w:sz="0" w:space="0" w:color="auto"/>
        <w:left w:val="none" w:sz="0" w:space="0" w:color="auto"/>
        <w:bottom w:val="none" w:sz="0" w:space="0" w:color="auto"/>
        <w:right w:val="none" w:sz="0" w:space="0" w:color="auto"/>
      </w:divBdr>
    </w:div>
    <w:div w:id="1347709876">
      <w:bodyDiv w:val="1"/>
      <w:marLeft w:val="0"/>
      <w:marRight w:val="0"/>
      <w:marTop w:val="0"/>
      <w:marBottom w:val="0"/>
      <w:divBdr>
        <w:top w:val="none" w:sz="0" w:space="0" w:color="auto"/>
        <w:left w:val="none" w:sz="0" w:space="0" w:color="auto"/>
        <w:bottom w:val="none" w:sz="0" w:space="0" w:color="auto"/>
        <w:right w:val="none" w:sz="0" w:space="0" w:color="auto"/>
      </w:divBdr>
    </w:div>
    <w:div w:id="1363165277">
      <w:bodyDiv w:val="1"/>
      <w:marLeft w:val="0"/>
      <w:marRight w:val="0"/>
      <w:marTop w:val="0"/>
      <w:marBottom w:val="0"/>
      <w:divBdr>
        <w:top w:val="none" w:sz="0" w:space="0" w:color="auto"/>
        <w:left w:val="none" w:sz="0" w:space="0" w:color="auto"/>
        <w:bottom w:val="none" w:sz="0" w:space="0" w:color="auto"/>
        <w:right w:val="none" w:sz="0" w:space="0" w:color="auto"/>
      </w:divBdr>
    </w:div>
    <w:div w:id="1413232926">
      <w:bodyDiv w:val="1"/>
      <w:marLeft w:val="0"/>
      <w:marRight w:val="0"/>
      <w:marTop w:val="0"/>
      <w:marBottom w:val="0"/>
      <w:divBdr>
        <w:top w:val="none" w:sz="0" w:space="0" w:color="auto"/>
        <w:left w:val="none" w:sz="0" w:space="0" w:color="auto"/>
        <w:bottom w:val="none" w:sz="0" w:space="0" w:color="auto"/>
        <w:right w:val="none" w:sz="0" w:space="0" w:color="auto"/>
      </w:divBdr>
    </w:div>
    <w:div w:id="1571846845">
      <w:bodyDiv w:val="1"/>
      <w:marLeft w:val="0"/>
      <w:marRight w:val="0"/>
      <w:marTop w:val="0"/>
      <w:marBottom w:val="0"/>
      <w:divBdr>
        <w:top w:val="none" w:sz="0" w:space="0" w:color="auto"/>
        <w:left w:val="none" w:sz="0" w:space="0" w:color="auto"/>
        <w:bottom w:val="none" w:sz="0" w:space="0" w:color="auto"/>
        <w:right w:val="none" w:sz="0" w:space="0" w:color="auto"/>
      </w:divBdr>
    </w:div>
    <w:div w:id="1654992676">
      <w:bodyDiv w:val="1"/>
      <w:marLeft w:val="0"/>
      <w:marRight w:val="0"/>
      <w:marTop w:val="0"/>
      <w:marBottom w:val="0"/>
      <w:divBdr>
        <w:top w:val="none" w:sz="0" w:space="0" w:color="auto"/>
        <w:left w:val="none" w:sz="0" w:space="0" w:color="auto"/>
        <w:bottom w:val="none" w:sz="0" w:space="0" w:color="auto"/>
        <w:right w:val="none" w:sz="0" w:space="0" w:color="auto"/>
      </w:divBdr>
    </w:div>
    <w:div w:id="1746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2024-12-23T12:41:00Z</cp:lastPrinted>
  <dcterms:created xsi:type="dcterms:W3CDTF">2024-12-23T12:42:00Z</dcterms:created>
  <dcterms:modified xsi:type="dcterms:W3CDTF">2024-12-23T12:42:00Z</dcterms:modified>
</cp:coreProperties>
</file>