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851"/>
        <w:gridCol w:w="1391"/>
      </w:tblGrid>
      <w:tr w:rsidR="004A5EA9" w:rsidRPr="00D2449B" w14:paraId="230E00AF"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B531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29972A5" w:rsidR="00837F4F" w:rsidRPr="00D2449B" w:rsidRDefault="009F52C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021E1D8" w:rsidR="00837F4F" w:rsidRPr="00D2449B" w:rsidRDefault="000D2373" w:rsidP="00D2449B">
            <w:pPr>
              <w:jc w:val="center"/>
              <w:rPr>
                <w:rFonts w:ascii="Calibri" w:hAnsi="Calibri"/>
                <w:b/>
                <w:szCs w:val="22"/>
              </w:rPr>
            </w:pPr>
            <w:r>
              <w:rPr>
                <w:rFonts w:ascii="Calibri" w:hAnsi="Calibri"/>
                <w:b/>
                <w:szCs w:val="22"/>
              </w:rPr>
              <w:t>16/12/24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6241234" w:rsidR="00837F4F" w:rsidRPr="00D2449B" w:rsidRDefault="004B5310"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C7E926" w:rsidR="00837F4F" w:rsidRPr="00D2449B" w:rsidRDefault="004B5310" w:rsidP="00D2449B">
            <w:pPr>
              <w:jc w:val="center"/>
              <w:rPr>
                <w:rFonts w:ascii="Calibri" w:hAnsi="Calibri"/>
                <w:b/>
                <w:szCs w:val="22"/>
              </w:rPr>
            </w:pPr>
            <w:r>
              <w:rPr>
                <w:rFonts w:ascii="Calibri" w:hAnsi="Calibri"/>
                <w:b/>
                <w:szCs w:val="22"/>
              </w:rPr>
              <w:t>16/12/24</w:t>
            </w:r>
          </w:p>
        </w:tc>
      </w:tr>
      <w:tr w:rsidR="004A5EA9" w:rsidRPr="00D2449B" w14:paraId="2094A164" w14:textId="77777777" w:rsidTr="004B5310">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B53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889DCA" w:rsidR="004A5EA9" w:rsidRPr="00250879" w:rsidRDefault="009F52C3" w:rsidP="008542DE">
            <w:pPr>
              <w:rPr>
                <w:rFonts w:ascii="Calibri" w:hAnsi="Calibri"/>
                <w:color w:val="548DD4" w:themeColor="text2" w:themeTint="99"/>
                <w:szCs w:val="22"/>
              </w:rPr>
            </w:pPr>
            <w:r w:rsidRPr="009F52C3">
              <w:rPr>
                <w:rFonts w:ascii="Calibri" w:hAnsi="Calibri"/>
                <w:szCs w:val="22"/>
              </w:rPr>
              <w:t>3/2024/0868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B53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4010D3" w:rsidR="00824DB6" w:rsidRPr="00C0704D" w:rsidRDefault="009F52C3" w:rsidP="002C6277">
            <w:pPr>
              <w:rPr>
                <w:rFonts w:ascii="Calibri" w:hAnsi="Calibri"/>
                <w:szCs w:val="22"/>
              </w:rPr>
            </w:pPr>
            <w:r>
              <w:rPr>
                <w:rFonts w:ascii="Calibri" w:hAnsi="Calibri"/>
                <w:szCs w:val="22"/>
              </w:rPr>
              <w:t>18/11/24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08DE05" w:rsidR="00824DB6" w:rsidRPr="00C0704D" w:rsidRDefault="009F52C3" w:rsidP="002C6277">
            <w:pPr>
              <w:rPr>
                <w:rFonts w:ascii="Calibri" w:hAnsi="Calibri"/>
                <w:szCs w:val="22"/>
              </w:rPr>
            </w:pPr>
            <w:r>
              <w:rPr>
                <w:rFonts w:ascii="Calibri" w:hAnsi="Calibri"/>
                <w:szCs w:val="22"/>
              </w:rPr>
              <w:t>18/11/24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B53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5F3F7ED" w:rsidR="004A5EA9" w:rsidRPr="00250879" w:rsidRDefault="009F52C3" w:rsidP="00811771">
            <w:pPr>
              <w:rPr>
                <w:rFonts w:ascii="Calibri" w:hAnsi="Calibri"/>
                <w:color w:val="548DD4" w:themeColor="text2" w:themeTint="99"/>
                <w:szCs w:val="22"/>
              </w:rPr>
            </w:pPr>
            <w:r w:rsidRPr="009F52C3">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B531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4B531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483DC5" w:rsidR="004A5EA9" w:rsidRPr="002C6277" w:rsidRDefault="009F52C3">
            <w:pPr>
              <w:rPr>
                <w:rFonts w:ascii="Calibri" w:hAnsi="Calibri"/>
                <w:szCs w:val="22"/>
              </w:rPr>
            </w:pPr>
            <w:r>
              <w:rPr>
                <w:rFonts w:ascii="Calibri" w:hAnsi="Calibri"/>
                <w:szCs w:val="22"/>
              </w:rPr>
              <w:t xml:space="preserve">Proposed outbuilding. </w:t>
            </w:r>
          </w:p>
        </w:tc>
      </w:tr>
      <w:tr w:rsidR="002A01CF" w:rsidRPr="00D2449B" w14:paraId="52988241"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9154749" w:rsidR="002A01CF" w:rsidRPr="002C6277" w:rsidRDefault="009F52C3" w:rsidP="00A42E82">
            <w:pPr>
              <w:rPr>
                <w:rFonts w:ascii="Calibri" w:hAnsi="Calibri"/>
                <w:szCs w:val="22"/>
              </w:rPr>
            </w:pPr>
            <w:r>
              <w:rPr>
                <w:rFonts w:ascii="Calibri" w:hAnsi="Calibri"/>
                <w:szCs w:val="22"/>
              </w:rPr>
              <w:t xml:space="preserve">10 The Dene, Hurst Green, BB7 9QF. </w:t>
            </w:r>
          </w:p>
        </w:tc>
      </w:tr>
      <w:tr w:rsidR="00A95D89" w:rsidRPr="00D2449B" w14:paraId="3FB99B2E" w14:textId="77777777" w:rsidTr="004B531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DC06F69" w:rsidR="002A01CF" w:rsidRPr="009F52C3" w:rsidRDefault="009F52C3">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4B531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EC7555E" w:rsidR="002A01CF" w:rsidRPr="009F52C3" w:rsidRDefault="009F52C3">
            <w:pPr>
              <w:rPr>
                <w:rFonts w:ascii="Calibri" w:hAnsi="Calibri"/>
                <w:bCs/>
                <w:szCs w:val="22"/>
              </w:rPr>
            </w:pPr>
            <w:r>
              <w:rPr>
                <w:rFonts w:ascii="Calibri" w:hAnsi="Calibri"/>
                <w:bCs/>
                <w:szCs w:val="22"/>
              </w:rPr>
              <w:t>N/A</w:t>
            </w:r>
          </w:p>
        </w:tc>
      </w:tr>
      <w:tr w:rsidR="00C0704D" w:rsidRPr="00D2449B" w14:paraId="62663AAF"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B53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6A21FE0" w:rsidR="00C0704D" w:rsidRPr="00C0704D" w:rsidRDefault="009F52C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4B531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E4E1135" w14:textId="24ADBF4D"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10D60AD" w:rsidR="0046548C" w:rsidRDefault="009F52C3" w:rsidP="00C0704D">
            <w:pPr>
              <w:pStyle w:val="PLANNING"/>
              <w:rPr>
                <w:rFonts w:ascii="Calibri" w:hAnsi="Calibri"/>
                <w:szCs w:val="22"/>
              </w:rPr>
            </w:pPr>
            <w:r>
              <w:rPr>
                <w:rFonts w:ascii="Calibri" w:hAnsi="Calibri"/>
                <w:szCs w:val="22"/>
              </w:rPr>
              <w:t xml:space="preserve">3/2024/0486: Proposed demolition of existing conservatory and construction of single storey extension, removal of chimney stack and insertion of two new rooflights to the north elevation (Approved). </w:t>
            </w:r>
          </w:p>
          <w:p w14:paraId="60573933" w14:textId="77777777" w:rsidR="009F52C3" w:rsidRDefault="009F52C3" w:rsidP="00C0704D">
            <w:pPr>
              <w:pStyle w:val="PLANNING"/>
              <w:rPr>
                <w:rFonts w:ascii="Calibri" w:hAnsi="Calibri"/>
                <w:szCs w:val="22"/>
              </w:rPr>
            </w:pPr>
          </w:p>
          <w:p w14:paraId="6A6A6CFA" w14:textId="77777777" w:rsidR="009F52C3" w:rsidRPr="009F52C3" w:rsidRDefault="009F52C3" w:rsidP="009F52C3">
            <w:pPr>
              <w:pStyle w:val="PLANNING"/>
              <w:rPr>
                <w:rFonts w:ascii="Calibri" w:hAnsi="Calibri"/>
                <w:szCs w:val="22"/>
              </w:rPr>
            </w:pPr>
            <w:r w:rsidRPr="009F52C3">
              <w:rPr>
                <w:rFonts w:ascii="Calibri" w:hAnsi="Calibri"/>
                <w:szCs w:val="22"/>
              </w:rPr>
              <w:t xml:space="preserve">3/2015/0467: Proposed porch extension to side of property (Approved). </w:t>
            </w:r>
          </w:p>
          <w:p w14:paraId="0FE390EF" w14:textId="77777777" w:rsidR="009F52C3" w:rsidRPr="009F52C3" w:rsidRDefault="009F52C3" w:rsidP="009F52C3">
            <w:pPr>
              <w:pStyle w:val="PLANNING"/>
              <w:rPr>
                <w:rFonts w:ascii="Calibri" w:hAnsi="Calibri"/>
                <w:szCs w:val="22"/>
              </w:rPr>
            </w:pPr>
          </w:p>
          <w:p w14:paraId="283BD9B2" w14:textId="77777777" w:rsidR="009F52C3" w:rsidRPr="009F52C3" w:rsidRDefault="009F52C3" w:rsidP="009F52C3">
            <w:pPr>
              <w:pStyle w:val="PLANNING"/>
              <w:rPr>
                <w:rFonts w:ascii="Calibri" w:hAnsi="Calibri"/>
                <w:szCs w:val="22"/>
              </w:rPr>
            </w:pPr>
            <w:r w:rsidRPr="009F52C3">
              <w:rPr>
                <w:rFonts w:ascii="Calibri" w:hAnsi="Calibri"/>
                <w:szCs w:val="22"/>
              </w:rPr>
              <w:t xml:space="preserve">3/2013/0535: The erection of a single cottage (alternative scheme to planning permission 3/2011/0618) (Approved). </w:t>
            </w:r>
          </w:p>
          <w:p w14:paraId="1B1B5656" w14:textId="77777777" w:rsidR="009F52C3" w:rsidRPr="009F52C3" w:rsidRDefault="009F52C3" w:rsidP="009F52C3">
            <w:pPr>
              <w:pStyle w:val="PLANNING"/>
              <w:rPr>
                <w:rFonts w:ascii="Calibri" w:hAnsi="Calibri"/>
                <w:szCs w:val="22"/>
              </w:rPr>
            </w:pPr>
          </w:p>
          <w:p w14:paraId="02CBDE76" w14:textId="515EC848" w:rsidR="009F52C3" w:rsidRPr="009F52C3" w:rsidRDefault="009F52C3" w:rsidP="009F52C3">
            <w:pPr>
              <w:pStyle w:val="PLANNING"/>
              <w:rPr>
                <w:rFonts w:ascii="Calibri" w:hAnsi="Calibri"/>
                <w:szCs w:val="22"/>
              </w:rPr>
            </w:pPr>
            <w:r w:rsidRPr="009F52C3">
              <w:rPr>
                <w:rFonts w:ascii="Calibri" w:hAnsi="Calibri"/>
                <w:szCs w:val="22"/>
              </w:rPr>
              <w:lastRenderedPageBreak/>
              <w:t xml:space="preserve">3/2011/0618: Demolition of existing detached garage and construction of a two-bedroom detached cottage dwelling to include driveway with parking and turning area (Approved). </w:t>
            </w:r>
          </w:p>
          <w:p w14:paraId="622217B4" w14:textId="77777777" w:rsidR="009F52C3" w:rsidRPr="009F52C3" w:rsidRDefault="009F52C3" w:rsidP="009F52C3">
            <w:pPr>
              <w:pStyle w:val="PLANNING"/>
              <w:rPr>
                <w:rFonts w:ascii="Calibri" w:hAnsi="Calibri"/>
                <w:szCs w:val="22"/>
              </w:rPr>
            </w:pPr>
          </w:p>
          <w:p w14:paraId="50F42F21" w14:textId="77777777" w:rsidR="009F52C3" w:rsidRPr="009F52C3" w:rsidRDefault="009F52C3" w:rsidP="009F52C3">
            <w:pPr>
              <w:pStyle w:val="PLANNING"/>
              <w:rPr>
                <w:rFonts w:ascii="Calibri" w:hAnsi="Calibri"/>
                <w:szCs w:val="22"/>
              </w:rPr>
            </w:pPr>
            <w:r w:rsidRPr="009F52C3">
              <w:rPr>
                <w:rFonts w:ascii="Calibri" w:hAnsi="Calibri"/>
                <w:szCs w:val="22"/>
              </w:rPr>
              <w:t xml:space="preserve">3/2011/0187: Demolition of the existing detached garage and replacement garage to be built and driveway with turning area (Approved). </w:t>
            </w:r>
          </w:p>
          <w:p w14:paraId="42C0F48F" w14:textId="77777777" w:rsidR="009F52C3" w:rsidRPr="009F52C3" w:rsidRDefault="009F52C3" w:rsidP="009F52C3">
            <w:pPr>
              <w:pStyle w:val="PLANNING"/>
              <w:rPr>
                <w:rFonts w:ascii="Calibri" w:hAnsi="Calibri"/>
                <w:szCs w:val="22"/>
              </w:rPr>
            </w:pPr>
          </w:p>
          <w:p w14:paraId="7F72D72E" w14:textId="77777777" w:rsidR="009F52C3" w:rsidRPr="009F52C3" w:rsidRDefault="009F52C3" w:rsidP="009F52C3">
            <w:pPr>
              <w:pStyle w:val="PLANNING"/>
              <w:rPr>
                <w:rFonts w:ascii="Calibri" w:hAnsi="Calibri"/>
                <w:szCs w:val="22"/>
              </w:rPr>
            </w:pPr>
            <w:r w:rsidRPr="009F52C3">
              <w:rPr>
                <w:rFonts w:ascii="Calibri" w:hAnsi="Calibri"/>
                <w:szCs w:val="22"/>
              </w:rPr>
              <w:t xml:space="preserve">3/2009/0927: Proposed loft extension to the existing property and single storey extensions to the side and front with rooms in the roof space. Proposed dormer windows to the northeast elevation and a dormer window and a balcony to the northwest elevation. Re-submission (Approved). </w:t>
            </w:r>
          </w:p>
          <w:p w14:paraId="73B5F99E" w14:textId="77777777" w:rsidR="009F52C3" w:rsidRPr="009F52C3" w:rsidRDefault="009F52C3" w:rsidP="009F52C3">
            <w:pPr>
              <w:pStyle w:val="PLANNING"/>
              <w:rPr>
                <w:rFonts w:ascii="Calibri" w:hAnsi="Calibri"/>
                <w:szCs w:val="22"/>
              </w:rPr>
            </w:pPr>
          </w:p>
          <w:p w14:paraId="2736109F" w14:textId="77777777" w:rsidR="009F52C3" w:rsidRPr="009F52C3" w:rsidRDefault="009F52C3" w:rsidP="009F52C3">
            <w:pPr>
              <w:pStyle w:val="PLANNING"/>
              <w:rPr>
                <w:rFonts w:ascii="Calibri" w:hAnsi="Calibri"/>
                <w:szCs w:val="22"/>
              </w:rPr>
            </w:pPr>
            <w:r w:rsidRPr="009F52C3">
              <w:rPr>
                <w:rFonts w:ascii="Calibri" w:hAnsi="Calibri"/>
                <w:szCs w:val="22"/>
              </w:rPr>
              <w:t xml:space="preserve">3/2009/0379: Demolition of existing detached bungalow and erection of two-storey detached house (Refused). </w:t>
            </w:r>
          </w:p>
          <w:p w14:paraId="60285EBB" w14:textId="77777777" w:rsidR="009F52C3" w:rsidRPr="009F52C3" w:rsidRDefault="009F52C3" w:rsidP="009F52C3">
            <w:pPr>
              <w:pStyle w:val="PLANNING"/>
              <w:rPr>
                <w:rFonts w:ascii="Calibri" w:hAnsi="Calibri"/>
                <w:szCs w:val="22"/>
              </w:rPr>
            </w:pPr>
          </w:p>
          <w:p w14:paraId="07C703E7" w14:textId="77777777" w:rsidR="009F52C3" w:rsidRPr="009F52C3" w:rsidRDefault="009F52C3" w:rsidP="009F52C3">
            <w:pPr>
              <w:pStyle w:val="PLANNING"/>
              <w:rPr>
                <w:rFonts w:ascii="Calibri" w:hAnsi="Calibri"/>
                <w:szCs w:val="22"/>
              </w:rPr>
            </w:pPr>
            <w:r w:rsidRPr="009F52C3">
              <w:rPr>
                <w:rFonts w:ascii="Calibri" w:hAnsi="Calibri"/>
                <w:szCs w:val="22"/>
              </w:rPr>
              <w:t xml:space="preserve">3/2009/0380: Demolition of existing detached bungalow and erection of two storey detached house (Approved). </w:t>
            </w:r>
          </w:p>
          <w:p w14:paraId="17147D50" w14:textId="096D4E8E" w:rsidR="0046548C" w:rsidRPr="009F52C3" w:rsidRDefault="0046548C" w:rsidP="00C0704D">
            <w:pPr>
              <w:pStyle w:val="PLANNING"/>
              <w:rPr>
                <w:rFonts w:ascii="Calibri" w:hAnsi="Calibri"/>
                <w:szCs w:val="22"/>
              </w:rPr>
            </w:pPr>
          </w:p>
        </w:tc>
      </w:tr>
      <w:tr w:rsidR="00C0704D" w:rsidRPr="00D2449B" w14:paraId="6AAC3B0A" w14:textId="77777777" w:rsidTr="004B531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9F52C3">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9F52C3">
            <w:pPr>
              <w:pStyle w:val="Header"/>
              <w:tabs>
                <w:tab w:val="clear" w:pos="4153"/>
                <w:tab w:val="clear" w:pos="8306"/>
              </w:tabs>
              <w:contextualSpacing/>
              <w:jc w:val="both"/>
              <w:rPr>
                <w:rFonts w:ascii="Calibri" w:hAnsi="Calibri"/>
                <w:bCs/>
                <w:szCs w:val="22"/>
              </w:rPr>
            </w:pPr>
          </w:p>
          <w:p w14:paraId="4D17643A" w14:textId="047C1D7F" w:rsidR="009F52C3" w:rsidRDefault="009F52C3" w:rsidP="009F52C3">
            <w:pPr>
              <w:pStyle w:val="Header"/>
              <w:tabs>
                <w:tab w:val="clear" w:pos="4153"/>
                <w:tab w:val="clear" w:pos="8306"/>
              </w:tabs>
              <w:contextualSpacing/>
              <w:jc w:val="both"/>
              <w:rPr>
                <w:rFonts w:ascii="Calibri" w:hAnsi="Calibri"/>
                <w:bCs/>
                <w:szCs w:val="22"/>
              </w:rPr>
            </w:pPr>
            <w:r w:rsidRPr="009F52C3">
              <w:rPr>
                <w:rFonts w:ascii="Calibri" w:hAnsi="Calibri"/>
                <w:bCs/>
                <w:szCs w:val="22"/>
              </w:rPr>
              <w:t xml:space="preserve">The application relates to a detached bungalow property at no.10 The Dene, comprising of render and stonework to its external elevations, concrete roof tiles and grey uPVC windows and doors. The site to which the application relates is located within the defined settlement limits of Hurst Green as well as the Hurst Green Conservation Area and Forest of Bowland National Landscape. The property is also situated within Flood Zone 2 and 3. </w:t>
            </w:r>
          </w:p>
          <w:p w14:paraId="62370E9F" w14:textId="77777777" w:rsidR="00C0704D" w:rsidRPr="006C2BFA" w:rsidRDefault="00C0704D" w:rsidP="009F52C3">
            <w:pPr>
              <w:pStyle w:val="Header"/>
              <w:tabs>
                <w:tab w:val="clear" w:pos="4153"/>
                <w:tab w:val="clear" w:pos="8306"/>
              </w:tabs>
              <w:contextualSpacing/>
              <w:jc w:val="both"/>
              <w:rPr>
                <w:rFonts w:ascii="Calibri" w:hAnsi="Calibri"/>
                <w:bCs/>
                <w:szCs w:val="22"/>
              </w:rPr>
            </w:pPr>
          </w:p>
        </w:tc>
      </w:tr>
      <w:tr w:rsidR="00C0704D" w:rsidRPr="00D2449B" w14:paraId="408C6380"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9F52C3">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9F52C3">
            <w:pPr>
              <w:pStyle w:val="Header"/>
              <w:tabs>
                <w:tab w:val="clear" w:pos="4153"/>
                <w:tab w:val="clear" w:pos="8306"/>
              </w:tabs>
              <w:jc w:val="both"/>
              <w:rPr>
                <w:rFonts w:ascii="Calibri" w:hAnsi="Calibri"/>
                <w:b/>
                <w:szCs w:val="22"/>
              </w:rPr>
            </w:pPr>
          </w:p>
          <w:p w14:paraId="61849A67" w14:textId="00211046" w:rsidR="00D75BE3" w:rsidRDefault="00D75BE3" w:rsidP="009F52C3">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an outbuilding which would measure 5.5m by 3.1m with a maximum height of 2.6m. </w:t>
            </w:r>
          </w:p>
          <w:p w14:paraId="1CB85CE4" w14:textId="77777777" w:rsidR="00D75BE3" w:rsidRDefault="00D75BE3" w:rsidP="009F52C3">
            <w:pPr>
              <w:pStyle w:val="Header"/>
              <w:tabs>
                <w:tab w:val="clear" w:pos="4153"/>
                <w:tab w:val="clear" w:pos="8306"/>
              </w:tabs>
              <w:jc w:val="both"/>
              <w:rPr>
                <w:rFonts w:ascii="Calibri" w:hAnsi="Calibri"/>
                <w:bCs/>
                <w:szCs w:val="22"/>
              </w:rPr>
            </w:pPr>
          </w:p>
          <w:p w14:paraId="410692BC" w14:textId="0A84ED54" w:rsidR="00D75BE3" w:rsidRPr="00D75BE3" w:rsidRDefault="00D75BE3" w:rsidP="009F52C3">
            <w:pPr>
              <w:pStyle w:val="Header"/>
              <w:tabs>
                <w:tab w:val="clear" w:pos="4153"/>
                <w:tab w:val="clear" w:pos="8306"/>
              </w:tabs>
              <w:jc w:val="both"/>
              <w:rPr>
                <w:rFonts w:ascii="Calibri" w:hAnsi="Calibri"/>
                <w:bCs/>
                <w:szCs w:val="22"/>
              </w:rPr>
            </w:pPr>
            <w:r>
              <w:rPr>
                <w:rFonts w:ascii="Calibri" w:hAnsi="Calibri"/>
                <w:bCs/>
                <w:szCs w:val="22"/>
              </w:rPr>
              <w:t xml:space="preserve">The proposed building would be finished in timber cladding and would incorporate a set of double doors and single personnel door to the south facing elevation and 1no. window to the both the eastern and western side elevations. </w:t>
            </w:r>
          </w:p>
          <w:p w14:paraId="1B20488F" w14:textId="77777777" w:rsidR="00C0704D" w:rsidRPr="00D54E67" w:rsidRDefault="00C0704D" w:rsidP="009F52C3">
            <w:pPr>
              <w:jc w:val="both"/>
              <w:rPr>
                <w:rFonts w:ascii="Calibri" w:hAnsi="Calibri"/>
                <w:szCs w:val="22"/>
              </w:rPr>
            </w:pPr>
          </w:p>
        </w:tc>
      </w:tr>
      <w:tr w:rsidR="0046548C" w:rsidRPr="00D2449B" w14:paraId="06BBE02F"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B687C31" w14:textId="77777777" w:rsidR="009F52C3" w:rsidRPr="009F52C3" w:rsidRDefault="009F52C3" w:rsidP="009F52C3">
            <w:pPr>
              <w:jc w:val="both"/>
              <w:rPr>
                <w:rFonts w:ascii="Calibri" w:hAnsi="Calibri"/>
                <w:bCs/>
                <w:szCs w:val="22"/>
              </w:rPr>
            </w:pPr>
            <w:r w:rsidRPr="009F52C3">
              <w:rPr>
                <w:rFonts w:ascii="Calibri" w:hAnsi="Calibri"/>
                <w:bCs/>
                <w:szCs w:val="22"/>
              </w:rPr>
              <w:t xml:space="preserve">The proposal relates to a domestic </w:t>
            </w:r>
            <w:r>
              <w:rPr>
                <w:rFonts w:ascii="Calibri" w:hAnsi="Calibri"/>
                <w:bCs/>
                <w:szCs w:val="22"/>
              </w:rPr>
              <w:t>outbuilding within the curtilage of an</w:t>
            </w:r>
            <w:r w:rsidRPr="009F52C3">
              <w:rPr>
                <w:rFonts w:ascii="Calibri" w:hAnsi="Calibri"/>
                <w:bCs/>
                <w:szCs w:val="22"/>
              </w:rPr>
              <w:t xml:space="preserve"> established residential property and is therefore acceptable in principle subject to as assessment of the material planning considerations. </w:t>
            </w:r>
          </w:p>
          <w:p w14:paraId="22714CED" w14:textId="77777777" w:rsidR="009F52C3" w:rsidRPr="009F52C3" w:rsidRDefault="009F52C3" w:rsidP="009F52C3">
            <w:pPr>
              <w:jc w:val="both"/>
              <w:rPr>
                <w:rFonts w:ascii="Calibri" w:hAnsi="Calibri"/>
                <w:bCs/>
                <w:szCs w:val="22"/>
              </w:rPr>
            </w:pPr>
          </w:p>
          <w:p w14:paraId="6FA0F3F1" w14:textId="77777777" w:rsidR="009F52C3" w:rsidRPr="009F52C3" w:rsidRDefault="009F52C3" w:rsidP="009F52C3">
            <w:pPr>
              <w:jc w:val="both"/>
              <w:rPr>
                <w:rFonts w:ascii="Calibri" w:hAnsi="Calibri"/>
                <w:bCs/>
                <w:szCs w:val="22"/>
              </w:rPr>
            </w:pPr>
            <w:r w:rsidRPr="009F52C3">
              <w:rPr>
                <w:rFonts w:ascii="Calibri" w:hAnsi="Calibri"/>
                <w:bCs/>
                <w:szCs w:val="22"/>
              </w:rPr>
              <w:t xml:space="preserve">The application property is also situated within the Hurst Green Conservation Area and Forest of Bowland National Landscape and as such, additional consideration will also be given towards the effect of the proposal on the historic character and visual amenities of the surrounding area.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16C32B2" w:rsidR="008542DE" w:rsidRDefault="009F52C3" w:rsidP="009F52C3">
            <w:pPr>
              <w:pStyle w:val="Header"/>
              <w:tabs>
                <w:tab w:val="clear" w:pos="4153"/>
                <w:tab w:val="clear" w:pos="8306"/>
              </w:tabs>
              <w:contextualSpacing/>
              <w:jc w:val="both"/>
              <w:rPr>
                <w:rFonts w:ascii="Calibri" w:hAnsi="Calibri"/>
                <w:b/>
                <w:szCs w:val="22"/>
              </w:rPr>
            </w:pPr>
            <w:r>
              <w:rPr>
                <w:rFonts w:ascii="Calibri" w:hAnsi="Calibri"/>
                <w:b/>
                <w:szCs w:val="22"/>
              </w:rPr>
              <w:t xml:space="preserve">Visual Amenity/ External Appearance and </w:t>
            </w:r>
            <w:r w:rsidR="008542DE">
              <w:rPr>
                <w:rFonts w:ascii="Calibri" w:hAnsi="Calibri"/>
                <w:b/>
                <w:szCs w:val="22"/>
              </w:rPr>
              <w:t>Impact upon Character/appearance of Conservations Area:</w:t>
            </w:r>
          </w:p>
          <w:p w14:paraId="3C664B9F" w14:textId="77777777" w:rsidR="008542DE" w:rsidRDefault="008542DE" w:rsidP="009F52C3">
            <w:pPr>
              <w:pStyle w:val="Header"/>
              <w:tabs>
                <w:tab w:val="clear" w:pos="4153"/>
                <w:tab w:val="clear" w:pos="8306"/>
              </w:tabs>
              <w:contextualSpacing/>
              <w:jc w:val="both"/>
              <w:rPr>
                <w:rFonts w:ascii="Calibri" w:hAnsi="Calibri"/>
                <w:b/>
                <w:szCs w:val="22"/>
              </w:rPr>
            </w:pPr>
          </w:p>
          <w:p w14:paraId="2B19E9E8" w14:textId="77777777" w:rsidR="009F52C3" w:rsidRPr="009F52C3" w:rsidRDefault="009F52C3" w:rsidP="009F52C3">
            <w:pPr>
              <w:contextualSpacing/>
              <w:jc w:val="both"/>
              <w:rPr>
                <w:rFonts w:ascii="Calibri" w:hAnsi="Calibri"/>
                <w:szCs w:val="22"/>
              </w:rPr>
            </w:pPr>
            <w:r w:rsidRPr="009F52C3">
              <w:rPr>
                <w:rFonts w:ascii="Calibri" w:hAnsi="Calibri"/>
                <w:szCs w:val="22"/>
              </w:rPr>
              <w:t>The proposal site is situated within the Hurst Green Conservation Area. With reference to making decisions on applications for development in Conservation Areas, Section 72 of the Planning (Listed Buildings and Conservation Areas) Act 1990 states that:</w:t>
            </w:r>
          </w:p>
          <w:p w14:paraId="1C2F2228" w14:textId="77777777" w:rsidR="009F52C3" w:rsidRPr="009F52C3" w:rsidRDefault="009F52C3" w:rsidP="009F52C3">
            <w:pPr>
              <w:contextualSpacing/>
              <w:jc w:val="both"/>
              <w:rPr>
                <w:rFonts w:ascii="Calibri" w:hAnsi="Calibri"/>
                <w:szCs w:val="22"/>
              </w:rPr>
            </w:pPr>
          </w:p>
          <w:p w14:paraId="573E06D6" w14:textId="77777777" w:rsidR="009F52C3" w:rsidRPr="009F52C3" w:rsidRDefault="009F52C3" w:rsidP="009F52C3">
            <w:pPr>
              <w:contextualSpacing/>
              <w:jc w:val="both"/>
              <w:rPr>
                <w:rFonts w:ascii="Calibri" w:hAnsi="Calibri"/>
                <w:i/>
                <w:iCs/>
                <w:szCs w:val="22"/>
              </w:rPr>
            </w:pPr>
            <w:r w:rsidRPr="009F52C3">
              <w:rPr>
                <w:rFonts w:ascii="Calibri" w:hAnsi="Calibri"/>
                <w:szCs w:val="22"/>
              </w:rPr>
              <w:t xml:space="preserve"> ‘…</w:t>
            </w:r>
            <w:r w:rsidRPr="009F52C3">
              <w:rPr>
                <w:rFonts w:ascii="Calibri" w:hAnsi="Calibri"/>
                <w:i/>
                <w:iCs/>
                <w:szCs w:val="22"/>
              </w:rPr>
              <w:t xml:space="preserve">special attention shall be paid to the desirability of preserving or enhancing the character or appearance of that area.’ </w:t>
            </w:r>
          </w:p>
          <w:p w14:paraId="01992353" w14:textId="77777777" w:rsidR="009F52C3" w:rsidRPr="009F52C3" w:rsidRDefault="009F52C3" w:rsidP="009F52C3">
            <w:pPr>
              <w:contextualSpacing/>
              <w:jc w:val="both"/>
              <w:rPr>
                <w:rFonts w:ascii="Calibri" w:hAnsi="Calibri"/>
                <w:i/>
                <w:iCs/>
                <w:szCs w:val="22"/>
              </w:rPr>
            </w:pPr>
          </w:p>
          <w:p w14:paraId="6AECE9FC" w14:textId="77777777" w:rsidR="009F52C3" w:rsidRPr="009F52C3" w:rsidRDefault="009F52C3" w:rsidP="009F52C3">
            <w:pPr>
              <w:contextualSpacing/>
              <w:jc w:val="both"/>
              <w:rPr>
                <w:rFonts w:ascii="Calibri" w:hAnsi="Calibri"/>
                <w:szCs w:val="22"/>
              </w:rPr>
            </w:pPr>
            <w:r w:rsidRPr="009F52C3">
              <w:rPr>
                <w:rFonts w:ascii="Calibri" w:hAnsi="Calibri"/>
                <w:szCs w:val="22"/>
              </w:rPr>
              <w:t xml:space="preserve">Moreover, Key Statement EN5 of the Ribble Valley Core Strategy stipulates that all development proposals should respect and safeguard the character, appearance and significance of all Conservation Areas. </w:t>
            </w:r>
          </w:p>
          <w:p w14:paraId="1DD969A7" w14:textId="77777777" w:rsidR="009F52C3" w:rsidRPr="009F52C3" w:rsidRDefault="009F52C3" w:rsidP="009F52C3">
            <w:pPr>
              <w:contextualSpacing/>
              <w:jc w:val="both"/>
              <w:rPr>
                <w:rFonts w:ascii="Calibri" w:hAnsi="Calibri"/>
                <w:szCs w:val="22"/>
              </w:rPr>
            </w:pPr>
          </w:p>
          <w:p w14:paraId="38B6E97C" w14:textId="77777777" w:rsidR="009F52C3" w:rsidRPr="009F52C3" w:rsidRDefault="009F52C3" w:rsidP="009F52C3">
            <w:pPr>
              <w:contextualSpacing/>
              <w:jc w:val="both"/>
              <w:rPr>
                <w:rFonts w:ascii="Calibri" w:hAnsi="Calibri"/>
                <w:i/>
                <w:iCs/>
                <w:szCs w:val="22"/>
              </w:rPr>
            </w:pPr>
            <w:r w:rsidRPr="009F52C3">
              <w:rPr>
                <w:rFonts w:ascii="Calibri" w:hAnsi="Calibri"/>
                <w:szCs w:val="22"/>
              </w:rPr>
              <w:t>Furthermore, Policy DME4 of the Ribble Valley Core Strategy states that ‘</w:t>
            </w:r>
            <w:r w:rsidRPr="009F52C3">
              <w:rPr>
                <w:rFonts w:ascii="Calibri" w:hAnsi="Calibri"/>
                <w:i/>
                <w:iCs/>
                <w:szCs w:val="22"/>
              </w:rPr>
              <w:t xml:space="preserve">Proposals within, or affecting views into and out of, or affecting the setting of a Conservation Area will be required to conserve and where appropriate enhance its character and appearance.’ </w:t>
            </w:r>
          </w:p>
          <w:p w14:paraId="5C280E44" w14:textId="77777777" w:rsidR="009F52C3" w:rsidRPr="009F52C3" w:rsidRDefault="009F52C3" w:rsidP="009F52C3">
            <w:pPr>
              <w:contextualSpacing/>
              <w:jc w:val="both"/>
              <w:rPr>
                <w:rFonts w:ascii="Calibri" w:hAnsi="Calibri"/>
                <w:i/>
                <w:iCs/>
                <w:szCs w:val="22"/>
              </w:rPr>
            </w:pPr>
          </w:p>
          <w:p w14:paraId="07B826D7" w14:textId="77777777" w:rsidR="009F52C3" w:rsidRPr="009F52C3" w:rsidRDefault="009F52C3" w:rsidP="009F52C3">
            <w:pPr>
              <w:contextualSpacing/>
              <w:jc w:val="both"/>
              <w:rPr>
                <w:rFonts w:ascii="Calibri" w:hAnsi="Calibri"/>
                <w:szCs w:val="22"/>
              </w:rPr>
            </w:pPr>
            <w:r w:rsidRPr="009F52C3">
              <w:rPr>
                <w:rFonts w:ascii="Calibri" w:hAnsi="Calibri"/>
                <w:szCs w:val="22"/>
              </w:rPr>
              <w:t>With specific regard to the application site and its immediate surroundings, the Hurst Green Conservation Area Appraisal (2005) identifies the ‘</w:t>
            </w:r>
            <w:r w:rsidRPr="009F52C3">
              <w:rPr>
                <w:rFonts w:ascii="Calibri" w:hAnsi="Calibri"/>
                <w:i/>
                <w:iCs/>
                <w:szCs w:val="22"/>
              </w:rPr>
              <w:t xml:space="preserve">continuing loss of original architectural details and use of inappropriate modern materials or details’ </w:t>
            </w:r>
            <w:r w:rsidRPr="009F52C3">
              <w:rPr>
                <w:rFonts w:ascii="Calibri" w:hAnsi="Calibri"/>
                <w:szCs w:val="22"/>
              </w:rPr>
              <w:t xml:space="preserve">as being the primary threat to the Hurst Green Conservation Area. </w:t>
            </w:r>
          </w:p>
          <w:p w14:paraId="3EB6BB4E" w14:textId="77777777" w:rsidR="009F52C3" w:rsidRPr="009F52C3" w:rsidRDefault="009F52C3" w:rsidP="009F52C3">
            <w:pPr>
              <w:contextualSpacing/>
              <w:jc w:val="both"/>
              <w:rPr>
                <w:rFonts w:ascii="Calibri" w:hAnsi="Calibri"/>
                <w:szCs w:val="22"/>
              </w:rPr>
            </w:pPr>
          </w:p>
          <w:p w14:paraId="033C77D5" w14:textId="77777777" w:rsidR="009F52C3" w:rsidRDefault="009F52C3" w:rsidP="009F52C3">
            <w:pPr>
              <w:contextualSpacing/>
              <w:jc w:val="both"/>
              <w:rPr>
                <w:rFonts w:ascii="Calibri" w:hAnsi="Calibri"/>
                <w:i/>
                <w:iCs/>
                <w:szCs w:val="22"/>
              </w:rPr>
            </w:pPr>
            <w:r w:rsidRPr="009F52C3">
              <w:rPr>
                <w:rFonts w:ascii="Calibri" w:hAnsi="Calibri"/>
                <w:szCs w:val="22"/>
              </w:rPr>
              <w:t>The proposal site also lies within the Forest of Bowland National Landscape. With regards to development in the National Landscape, Key Statement EN2 of the Ribble Valley Core Strategy states that ‘</w:t>
            </w:r>
            <w:r w:rsidRPr="009F52C3">
              <w:rPr>
                <w:rFonts w:ascii="Calibri" w:hAnsi="Calibri"/>
                <w:i/>
                <w:iCs/>
                <w:szCs w:val="22"/>
              </w:rPr>
              <w:t xml:space="preserve">The Council will expect development to be in keeping with the character of the landscape, reflecting local distinctiveness, vernacular, style, scale, style, features and building materials.’ </w:t>
            </w:r>
          </w:p>
          <w:p w14:paraId="5BEBB7BD" w14:textId="77777777" w:rsidR="009F52C3" w:rsidRDefault="009F52C3" w:rsidP="009F52C3">
            <w:pPr>
              <w:contextualSpacing/>
              <w:jc w:val="both"/>
              <w:rPr>
                <w:rFonts w:ascii="Calibri" w:hAnsi="Calibri"/>
                <w:i/>
                <w:iCs/>
                <w:szCs w:val="22"/>
              </w:rPr>
            </w:pPr>
          </w:p>
          <w:p w14:paraId="735341BD" w14:textId="0D8038E4" w:rsidR="00583AA6" w:rsidRDefault="00583AA6" w:rsidP="009F52C3">
            <w:pPr>
              <w:contextualSpacing/>
              <w:jc w:val="both"/>
              <w:rPr>
                <w:rFonts w:ascii="Calibri" w:hAnsi="Calibri"/>
                <w:szCs w:val="22"/>
              </w:rPr>
            </w:pPr>
            <w:r>
              <w:rPr>
                <w:rFonts w:ascii="Calibri" w:hAnsi="Calibri"/>
                <w:szCs w:val="22"/>
              </w:rPr>
              <w:t xml:space="preserve">The proposed outbuilding would comprise a relatively modest size and scale, with a total footprint of </w:t>
            </w:r>
            <w:r w:rsidR="00203B92">
              <w:rPr>
                <w:rFonts w:ascii="Calibri" w:hAnsi="Calibri"/>
                <w:szCs w:val="22"/>
              </w:rPr>
              <w:t>17</w:t>
            </w:r>
            <w:r w:rsidR="00203CE2">
              <w:rPr>
                <w:rFonts w:ascii="Calibri" w:hAnsi="Calibri"/>
                <w:szCs w:val="22"/>
              </w:rPr>
              <w:t>m</w:t>
            </w:r>
            <w:r w:rsidR="000D2373">
              <w:rPr>
                <w:rFonts w:ascii="Calibri" w:hAnsi="Calibri"/>
                <w:szCs w:val="22"/>
                <w:vertAlign w:val="superscript"/>
              </w:rPr>
              <w:t>2</w:t>
            </w:r>
            <w:r w:rsidR="000D2373">
              <w:rPr>
                <w:rFonts w:ascii="Calibri" w:hAnsi="Calibri"/>
                <w:szCs w:val="22"/>
              </w:rPr>
              <w:t xml:space="preserve"> </w:t>
            </w:r>
            <w:r>
              <w:rPr>
                <w:rFonts w:ascii="Calibri" w:hAnsi="Calibri"/>
                <w:szCs w:val="22"/>
              </w:rPr>
              <w:t xml:space="preserve">and height of </w:t>
            </w:r>
            <w:r w:rsidR="00203B92">
              <w:rPr>
                <w:rFonts w:ascii="Calibri" w:hAnsi="Calibri"/>
                <w:szCs w:val="22"/>
              </w:rPr>
              <w:t>2.6m</w:t>
            </w:r>
            <w:r>
              <w:rPr>
                <w:rFonts w:ascii="Calibri" w:hAnsi="Calibri"/>
                <w:szCs w:val="22"/>
              </w:rPr>
              <w:t xml:space="preserve">. The proposal would </w:t>
            </w:r>
            <w:r w:rsidR="00203B92">
              <w:rPr>
                <w:rFonts w:ascii="Calibri" w:hAnsi="Calibri"/>
                <w:szCs w:val="22"/>
              </w:rPr>
              <w:t xml:space="preserve">also </w:t>
            </w:r>
            <w:r>
              <w:rPr>
                <w:rFonts w:ascii="Calibri" w:hAnsi="Calibri"/>
                <w:szCs w:val="22"/>
              </w:rPr>
              <w:t xml:space="preserve">be set approximately </w:t>
            </w:r>
            <w:r w:rsidR="00203B92">
              <w:rPr>
                <w:rFonts w:ascii="Calibri" w:hAnsi="Calibri"/>
                <w:szCs w:val="22"/>
              </w:rPr>
              <w:t>8m</w:t>
            </w:r>
            <w:r>
              <w:rPr>
                <w:rFonts w:ascii="Calibri" w:hAnsi="Calibri"/>
                <w:szCs w:val="22"/>
              </w:rPr>
              <w:t xml:space="preserve"> back from the principal elevation of the application </w:t>
            </w:r>
            <w:r w:rsidR="00203B92">
              <w:rPr>
                <w:rFonts w:ascii="Calibri" w:hAnsi="Calibri"/>
                <w:szCs w:val="22"/>
              </w:rPr>
              <w:t>dwelling</w:t>
            </w:r>
            <w:r>
              <w:rPr>
                <w:rFonts w:ascii="Calibri" w:hAnsi="Calibri"/>
                <w:szCs w:val="22"/>
              </w:rPr>
              <w:t xml:space="preserve"> and </w:t>
            </w:r>
            <w:r w:rsidR="00203B92">
              <w:rPr>
                <w:rFonts w:ascii="Calibri" w:hAnsi="Calibri"/>
                <w:szCs w:val="22"/>
              </w:rPr>
              <w:t xml:space="preserve">over 18m from the public highway. The proposal </w:t>
            </w:r>
            <w:r>
              <w:rPr>
                <w:rFonts w:ascii="Calibri" w:hAnsi="Calibri"/>
                <w:szCs w:val="22"/>
              </w:rPr>
              <w:t xml:space="preserve">would therefore clearly read as subservient </w:t>
            </w:r>
            <w:r w:rsidR="00203B92">
              <w:rPr>
                <w:rFonts w:ascii="Calibri" w:hAnsi="Calibri"/>
                <w:szCs w:val="22"/>
              </w:rPr>
              <w:t xml:space="preserve">domestic </w:t>
            </w:r>
            <w:r>
              <w:rPr>
                <w:rFonts w:ascii="Calibri" w:hAnsi="Calibri"/>
                <w:szCs w:val="22"/>
              </w:rPr>
              <w:t>outbuilding and not an incongruous or over dominant addition to the proposal site or surrounding landscape. The proposed use of timber cladding to the external elevations of the outbuilding is also considered appropriate and would not significant</w:t>
            </w:r>
            <w:r w:rsidR="00203B92">
              <w:rPr>
                <w:rFonts w:ascii="Calibri" w:hAnsi="Calibri"/>
                <w:szCs w:val="22"/>
              </w:rPr>
              <w:t>ly</w:t>
            </w:r>
            <w:r>
              <w:rPr>
                <w:rFonts w:ascii="Calibri" w:hAnsi="Calibri"/>
                <w:szCs w:val="22"/>
              </w:rPr>
              <w:t xml:space="preserve"> detract from </w:t>
            </w:r>
            <w:r w:rsidR="00203B92">
              <w:rPr>
                <w:rFonts w:ascii="Calibri" w:hAnsi="Calibri"/>
                <w:szCs w:val="22"/>
              </w:rPr>
              <w:t xml:space="preserve">the existing character or visual amenities of the locality. </w:t>
            </w:r>
          </w:p>
          <w:p w14:paraId="41D3E2D5" w14:textId="77777777" w:rsidR="00203B92" w:rsidRDefault="00203B92" w:rsidP="009F52C3">
            <w:pPr>
              <w:contextualSpacing/>
              <w:jc w:val="both"/>
              <w:rPr>
                <w:rFonts w:ascii="Calibri" w:hAnsi="Calibri"/>
                <w:szCs w:val="22"/>
              </w:rPr>
            </w:pPr>
          </w:p>
          <w:p w14:paraId="386F20E0" w14:textId="21485881" w:rsidR="00203B92" w:rsidRDefault="00203B92" w:rsidP="009F52C3">
            <w:pPr>
              <w:contextualSpacing/>
              <w:jc w:val="both"/>
              <w:rPr>
                <w:rFonts w:ascii="Calibri" w:hAnsi="Calibri"/>
                <w:bCs/>
                <w:szCs w:val="22"/>
              </w:rPr>
            </w:pPr>
            <w:r w:rsidRPr="00203B92">
              <w:rPr>
                <w:rFonts w:ascii="Calibri" w:hAnsi="Calibri"/>
                <w:bCs/>
                <w:szCs w:val="22"/>
              </w:rPr>
              <w:t>Taking account of the above, it is not considere</w:t>
            </w:r>
            <w:r>
              <w:rPr>
                <w:rFonts w:ascii="Calibri" w:hAnsi="Calibri"/>
                <w:bCs/>
                <w:szCs w:val="22"/>
              </w:rPr>
              <w:t xml:space="preserve">d that the proposal would result in any significant adverse impact upon the existing visual amenities of the surrounding National Landscape, nor would it pose any threat to the preservation of Hurst Green’s Historic or architectural character. </w:t>
            </w:r>
          </w:p>
          <w:p w14:paraId="4D64DDAE" w14:textId="77777777" w:rsidR="008542DE" w:rsidRDefault="008542DE" w:rsidP="00203B92">
            <w:pPr>
              <w:contextualSpacing/>
              <w:jc w:val="both"/>
              <w:rPr>
                <w:rFonts w:ascii="Calibri" w:hAnsi="Calibri"/>
                <w:b/>
                <w:szCs w:val="22"/>
              </w:rPr>
            </w:pPr>
          </w:p>
        </w:tc>
      </w:tr>
      <w:tr w:rsidR="00C0704D" w:rsidRPr="00D2449B" w14:paraId="617768FF"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84022C6" w14:textId="77777777" w:rsidR="00ED00B7" w:rsidRDefault="00203B92" w:rsidP="00C0704D">
            <w:pPr>
              <w:contextualSpacing/>
              <w:rPr>
                <w:rFonts w:ascii="Calibri" w:hAnsi="Calibri"/>
                <w:szCs w:val="22"/>
              </w:rPr>
            </w:pPr>
            <w:r>
              <w:rPr>
                <w:rFonts w:ascii="Calibri" w:hAnsi="Calibri"/>
                <w:szCs w:val="22"/>
              </w:rPr>
              <w:t>The proposed outbuilding would be adequately distanced from nearby residential receptors</w:t>
            </w:r>
            <w:r w:rsidR="003D7170">
              <w:rPr>
                <w:rFonts w:ascii="Calibri" w:hAnsi="Calibri"/>
                <w:szCs w:val="22"/>
              </w:rPr>
              <w:t xml:space="preserve"> </w:t>
            </w:r>
            <w:r>
              <w:rPr>
                <w:rFonts w:ascii="Calibri" w:hAnsi="Calibri"/>
                <w:szCs w:val="22"/>
              </w:rPr>
              <w:t xml:space="preserve">and given the relatively </w:t>
            </w:r>
            <w:r w:rsidR="003D7170">
              <w:rPr>
                <w:rFonts w:ascii="Calibri" w:hAnsi="Calibri"/>
                <w:szCs w:val="22"/>
              </w:rPr>
              <w:t>small-scale nature</w:t>
            </w:r>
            <w:r>
              <w:rPr>
                <w:rFonts w:ascii="Calibri" w:hAnsi="Calibri"/>
                <w:szCs w:val="22"/>
              </w:rPr>
              <w:t xml:space="preserve"> of the works proposed, it is not considered that any measurable undue harm upon the existing amenities of any nearby residents would be resultant. </w:t>
            </w:r>
          </w:p>
          <w:p w14:paraId="0DB485A3" w14:textId="5EE61F4C" w:rsidR="003D7170" w:rsidRPr="00C0704D" w:rsidRDefault="003D7170" w:rsidP="00C0704D">
            <w:pPr>
              <w:contextualSpacing/>
              <w:rPr>
                <w:rFonts w:ascii="Calibri" w:hAnsi="Calibri"/>
                <w:szCs w:val="22"/>
              </w:rPr>
            </w:pPr>
          </w:p>
        </w:tc>
      </w:tr>
      <w:tr w:rsidR="00824DB6" w:rsidRPr="00D2449B" w14:paraId="673C0DDB"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A1FF014" w14:textId="77777777" w:rsidR="00824DB6" w:rsidRDefault="009F52C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respect to the proposed development. </w:t>
            </w:r>
          </w:p>
          <w:p w14:paraId="337694ED" w14:textId="3E505680" w:rsidR="009F52C3" w:rsidRPr="009F52C3" w:rsidRDefault="009F52C3"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583AA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583AA6">
            <w:pPr>
              <w:pStyle w:val="Header"/>
              <w:tabs>
                <w:tab w:val="clear" w:pos="4153"/>
                <w:tab w:val="clear" w:pos="8306"/>
              </w:tabs>
              <w:contextualSpacing/>
              <w:jc w:val="both"/>
              <w:rPr>
                <w:rFonts w:ascii="Calibri" w:hAnsi="Calibri"/>
                <w:b/>
                <w:szCs w:val="22"/>
              </w:rPr>
            </w:pPr>
          </w:p>
          <w:p w14:paraId="5DC4816A" w14:textId="2B986985" w:rsidR="00C0704D" w:rsidRDefault="00D75BE3" w:rsidP="00583AA6">
            <w:pPr>
              <w:contextualSpacing/>
              <w:jc w:val="both"/>
              <w:rPr>
                <w:rFonts w:ascii="Calibri" w:hAnsi="Calibri"/>
                <w:bCs/>
                <w:szCs w:val="22"/>
              </w:rPr>
            </w:pPr>
            <w:r>
              <w:rPr>
                <w:rFonts w:ascii="Calibri" w:hAnsi="Calibri"/>
                <w:bCs/>
                <w:szCs w:val="22"/>
              </w:rPr>
              <w:t xml:space="preserve">It is noted that there a number of mature trees </w:t>
            </w:r>
            <w:r w:rsidR="003D7170">
              <w:rPr>
                <w:rFonts w:ascii="Calibri" w:hAnsi="Calibri"/>
                <w:bCs/>
                <w:szCs w:val="22"/>
              </w:rPr>
              <w:t xml:space="preserve">sited </w:t>
            </w:r>
            <w:r>
              <w:rPr>
                <w:rFonts w:ascii="Calibri" w:hAnsi="Calibri"/>
                <w:bCs/>
                <w:szCs w:val="22"/>
              </w:rPr>
              <w:t>within the proposal site</w:t>
            </w:r>
            <w:r w:rsidR="00583AA6">
              <w:rPr>
                <w:rFonts w:ascii="Calibri" w:hAnsi="Calibri"/>
                <w:bCs/>
                <w:szCs w:val="22"/>
              </w:rPr>
              <w:t xml:space="preserve">; however, no trees are proposed for removal as part of the works, and it is not anticipated that the proposed outbuilding would result in any direct impact. Notwithstanding this, a condition has been attached to accompanying decision notice requiring all retained trees to be protected during the construction phase of the development. </w:t>
            </w:r>
          </w:p>
          <w:p w14:paraId="4451E755" w14:textId="77777777" w:rsidR="00583AA6" w:rsidRDefault="00583AA6" w:rsidP="00583AA6">
            <w:pPr>
              <w:contextualSpacing/>
              <w:jc w:val="both"/>
              <w:rPr>
                <w:rFonts w:ascii="Calibri" w:hAnsi="Calibri"/>
                <w:bCs/>
                <w:szCs w:val="22"/>
              </w:rPr>
            </w:pPr>
          </w:p>
          <w:p w14:paraId="3693CA5E" w14:textId="1BE40F91" w:rsidR="00583AA6" w:rsidRDefault="00583AA6" w:rsidP="00583AA6">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574EAEB5" w:rsidR="00D75BE3" w:rsidRPr="00D75BE3" w:rsidRDefault="00D75BE3" w:rsidP="00583AA6">
            <w:pPr>
              <w:contextualSpacing/>
              <w:jc w:val="both"/>
              <w:rPr>
                <w:rFonts w:ascii="Calibri" w:hAnsi="Calibri"/>
                <w:bCs/>
                <w:szCs w:val="22"/>
              </w:rPr>
            </w:pPr>
          </w:p>
        </w:tc>
      </w:tr>
      <w:tr w:rsidR="009F52C3" w:rsidRPr="00D2449B" w14:paraId="2861B0D3"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B69519" w14:textId="77777777" w:rsidR="009F52C3" w:rsidRDefault="009F52C3" w:rsidP="00A51530">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5579F78C" w14:textId="77777777" w:rsidR="009F52C3" w:rsidRDefault="009F52C3" w:rsidP="00A51530">
            <w:pPr>
              <w:pStyle w:val="Header"/>
              <w:tabs>
                <w:tab w:val="clear" w:pos="4153"/>
                <w:tab w:val="clear" w:pos="8306"/>
              </w:tabs>
              <w:contextualSpacing/>
              <w:jc w:val="both"/>
              <w:rPr>
                <w:rFonts w:ascii="Calibri" w:hAnsi="Calibri"/>
                <w:b/>
                <w:szCs w:val="22"/>
              </w:rPr>
            </w:pPr>
          </w:p>
          <w:p w14:paraId="1E48EC7A" w14:textId="77777777" w:rsidR="009F52C3" w:rsidRPr="009F52C3" w:rsidRDefault="009F52C3" w:rsidP="00A51530">
            <w:pPr>
              <w:pStyle w:val="Header"/>
              <w:tabs>
                <w:tab w:val="clear" w:pos="4153"/>
                <w:tab w:val="clear" w:pos="8306"/>
              </w:tabs>
              <w:contextualSpacing/>
              <w:jc w:val="both"/>
              <w:rPr>
                <w:rFonts w:ascii="Calibri" w:hAnsi="Calibri"/>
                <w:szCs w:val="22"/>
                <w:u w:val="single"/>
              </w:rPr>
            </w:pPr>
            <w:r w:rsidRPr="009F52C3">
              <w:rPr>
                <w:rFonts w:ascii="Calibri" w:hAnsi="Calibri"/>
                <w:szCs w:val="22"/>
                <w:u w:val="single"/>
              </w:rPr>
              <w:t xml:space="preserve">Flood Risk </w:t>
            </w:r>
          </w:p>
          <w:p w14:paraId="6EA4CCEC" w14:textId="77777777" w:rsidR="009F52C3" w:rsidRPr="009F52C3" w:rsidRDefault="009F52C3" w:rsidP="00A51530">
            <w:pPr>
              <w:pStyle w:val="Header"/>
              <w:tabs>
                <w:tab w:val="clear" w:pos="4153"/>
                <w:tab w:val="clear" w:pos="8306"/>
              </w:tabs>
              <w:contextualSpacing/>
              <w:jc w:val="both"/>
              <w:rPr>
                <w:rFonts w:ascii="Calibri" w:hAnsi="Calibri"/>
                <w:szCs w:val="22"/>
                <w:u w:val="single"/>
              </w:rPr>
            </w:pPr>
          </w:p>
          <w:p w14:paraId="6C60DF33" w14:textId="0CB3EB81" w:rsidR="009F52C3" w:rsidRPr="00A51530" w:rsidRDefault="009F52C3" w:rsidP="00A51530">
            <w:pPr>
              <w:pStyle w:val="Header"/>
              <w:tabs>
                <w:tab w:val="clear" w:pos="4153"/>
                <w:tab w:val="clear" w:pos="8306"/>
              </w:tabs>
              <w:contextualSpacing/>
              <w:jc w:val="both"/>
              <w:rPr>
                <w:rFonts w:ascii="Calibri" w:hAnsi="Calibri"/>
                <w:szCs w:val="22"/>
              </w:rPr>
            </w:pPr>
            <w:r w:rsidRPr="009F52C3">
              <w:rPr>
                <w:rFonts w:ascii="Calibri" w:hAnsi="Calibri"/>
                <w:szCs w:val="22"/>
              </w:rPr>
              <w:t xml:space="preserve">The proposal site is within close proximity to Dene Brook, with the site being situated within Flood Zone 2 and 3. Despite this, the proposal relates to a domestic </w:t>
            </w:r>
            <w:r>
              <w:rPr>
                <w:rFonts w:ascii="Calibri" w:hAnsi="Calibri"/>
                <w:szCs w:val="22"/>
              </w:rPr>
              <w:t>outbuilding</w:t>
            </w:r>
            <w:r w:rsidR="003D7170">
              <w:rPr>
                <w:rFonts w:ascii="Calibri" w:hAnsi="Calibri"/>
                <w:szCs w:val="22"/>
              </w:rPr>
              <w:t xml:space="preserve"> with a total floorspace of 17</w:t>
            </w:r>
            <w:r w:rsidR="000D2373">
              <w:rPr>
                <w:rFonts w:ascii="Calibri" w:hAnsi="Calibri"/>
                <w:szCs w:val="22"/>
              </w:rPr>
              <w:t>m</w:t>
            </w:r>
            <w:r w:rsidR="000D2373">
              <w:rPr>
                <w:rFonts w:ascii="Calibri" w:hAnsi="Calibri"/>
                <w:szCs w:val="22"/>
                <w:vertAlign w:val="superscript"/>
              </w:rPr>
              <w:t>2</w:t>
            </w:r>
            <w:r w:rsidRPr="009F52C3">
              <w:rPr>
                <w:rFonts w:ascii="Calibri" w:hAnsi="Calibri"/>
                <w:szCs w:val="22"/>
              </w:rPr>
              <w:t xml:space="preserve"> and is therefore defined as minor development.</w:t>
            </w:r>
            <w:r w:rsidR="003D7170">
              <w:rPr>
                <w:rFonts w:ascii="Calibri" w:hAnsi="Calibri"/>
                <w:szCs w:val="22"/>
              </w:rPr>
              <w:t xml:space="preserve"> Given the small-scale nature of the development proposed, it is not anticipated that any significant increase in flood risk would be resultant. The proposal is therefore acceptable in this respect and satisfies Policy DME6. </w:t>
            </w:r>
          </w:p>
          <w:p w14:paraId="67E71D73" w14:textId="39DC4E59" w:rsidR="009F52C3" w:rsidRDefault="009F52C3" w:rsidP="00A51530">
            <w:pPr>
              <w:pStyle w:val="Header"/>
              <w:tabs>
                <w:tab w:val="clear" w:pos="4153"/>
                <w:tab w:val="clear" w:pos="8306"/>
              </w:tabs>
              <w:contextualSpacing/>
              <w:jc w:val="both"/>
              <w:rPr>
                <w:rFonts w:ascii="Calibri" w:hAnsi="Calibri"/>
                <w:b/>
                <w:szCs w:val="22"/>
              </w:rPr>
            </w:pPr>
          </w:p>
        </w:tc>
      </w:tr>
      <w:tr w:rsidR="00C0704D" w:rsidRPr="00D2449B" w14:paraId="0A9D02B4" w14:textId="77777777" w:rsidTr="004B531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9AE2D3B"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D75BE3">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9F52C3" w:rsidRPr="00D2449B" w14:paraId="507FC89B" w14:textId="77777777" w:rsidTr="004B531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F52C3" w:rsidRPr="00D2449B" w:rsidRDefault="009F52C3" w:rsidP="009F52C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6C1C74E" w:rsidR="009F52C3" w:rsidRPr="00D2449B" w:rsidRDefault="009F52C3" w:rsidP="009F52C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141"/>
    <w:rsid w:val="000B5CB5"/>
    <w:rsid w:val="000D2373"/>
    <w:rsid w:val="00130035"/>
    <w:rsid w:val="001D4F7A"/>
    <w:rsid w:val="001E461B"/>
    <w:rsid w:val="00203B92"/>
    <w:rsid w:val="00203CE2"/>
    <w:rsid w:val="00250879"/>
    <w:rsid w:val="0029334A"/>
    <w:rsid w:val="002A01CF"/>
    <w:rsid w:val="002A06C2"/>
    <w:rsid w:val="002C6277"/>
    <w:rsid w:val="002D36E8"/>
    <w:rsid w:val="002F2580"/>
    <w:rsid w:val="00321B6E"/>
    <w:rsid w:val="003D7170"/>
    <w:rsid w:val="00440CB6"/>
    <w:rsid w:val="0046548C"/>
    <w:rsid w:val="004947BB"/>
    <w:rsid w:val="004A5EA9"/>
    <w:rsid w:val="004B5310"/>
    <w:rsid w:val="004C2434"/>
    <w:rsid w:val="004F0649"/>
    <w:rsid w:val="00510FA2"/>
    <w:rsid w:val="00556ECD"/>
    <w:rsid w:val="00583AA6"/>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00E63"/>
    <w:rsid w:val="00811771"/>
    <w:rsid w:val="00824DB6"/>
    <w:rsid w:val="00837F4F"/>
    <w:rsid w:val="0084491F"/>
    <w:rsid w:val="008542DE"/>
    <w:rsid w:val="00872C52"/>
    <w:rsid w:val="008A28C8"/>
    <w:rsid w:val="008F54D0"/>
    <w:rsid w:val="00992C6F"/>
    <w:rsid w:val="009F4443"/>
    <w:rsid w:val="009F52C3"/>
    <w:rsid w:val="00A42E82"/>
    <w:rsid w:val="00A51530"/>
    <w:rsid w:val="00A579BB"/>
    <w:rsid w:val="00A61B17"/>
    <w:rsid w:val="00A63D55"/>
    <w:rsid w:val="00A95D89"/>
    <w:rsid w:val="00B57484"/>
    <w:rsid w:val="00B76166"/>
    <w:rsid w:val="00B93EB5"/>
    <w:rsid w:val="00BD3F03"/>
    <w:rsid w:val="00C0704D"/>
    <w:rsid w:val="00C25722"/>
    <w:rsid w:val="00C618DB"/>
    <w:rsid w:val="00D11007"/>
    <w:rsid w:val="00D17EB1"/>
    <w:rsid w:val="00D2449B"/>
    <w:rsid w:val="00D54E67"/>
    <w:rsid w:val="00D75BE3"/>
    <w:rsid w:val="00DD62F6"/>
    <w:rsid w:val="00E46243"/>
    <w:rsid w:val="00E66534"/>
    <w:rsid w:val="00E72F6C"/>
    <w:rsid w:val="00EA09F9"/>
    <w:rsid w:val="00EC23C7"/>
    <w:rsid w:val="00ED00B7"/>
    <w:rsid w:val="00EF44E6"/>
    <w:rsid w:val="00F15AA3"/>
    <w:rsid w:val="00F2487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0172">
      <w:bodyDiv w:val="1"/>
      <w:marLeft w:val="0"/>
      <w:marRight w:val="0"/>
      <w:marTop w:val="0"/>
      <w:marBottom w:val="0"/>
      <w:divBdr>
        <w:top w:val="none" w:sz="0" w:space="0" w:color="auto"/>
        <w:left w:val="none" w:sz="0" w:space="0" w:color="auto"/>
        <w:bottom w:val="none" w:sz="0" w:space="0" w:color="auto"/>
        <w:right w:val="none" w:sz="0" w:space="0" w:color="auto"/>
      </w:divBdr>
    </w:div>
    <w:div w:id="340744001">
      <w:bodyDiv w:val="1"/>
      <w:marLeft w:val="0"/>
      <w:marRight w:val="0"/>
      <w:marTop w:val="0"/>
      <w:marBottom w:val="0"/>
      <w:divBdr>
        <w:top w:val="none" w:sz="0" w:space="0" w:color="auto"/>
        <w:left w:val="none" w:sz="0" w:space="0" w:color="auto"/>
        <w:bottom w:val="none" w:sz="0" w:space="0" w:color="auto"/>
        <w:right w:val="none" w:sz="0" w:space="0" w:color="auto"/>
      </w:divBdr>
    </w:div>
    <w:div w:id="348259991">
      <w:bodyDiv w:val="1"/>
      <w:marLeft w:val="0"/>
      <w:marRight w:val="0"/>
      <w:marTop w:val="0"/>
      <w:marBottom w:val="0"/>
      <w:divBdr>
        <w:top w:val="none" w:sz="0" w:space="0" w:color="auto"/>
        <w:left w:val="none" w:sz="0" w:space="0" w:color="auto"/>
        <w:bottom w:val="none" w:sz="0" w:space="0" w:color="auto"/>
        <w:right w:val="none" w:sz="0" w:space="0" w:color="auto"/>
      </w:divBdr>
    </w:div>
    <w:div w:id="773744569">
      <w:bodyDiv w:val="1"/>
      <w:marLeft w:val="0"/>
      <w:marRight w:val="0"/>
      <w:marTop w:val="0"/>
      <w:marBottom w:val="0"/>
      <w:divBdr>
        <w:top w:val="none" w:sz="0" w:space="0" w:color="auto"/>
        <w:left w:val="none" w:sz="0" w:space="0" w:color="auto"/>
        <w:bottom w:val="none" w:sz="0" w:space="0" w:color="auto"/>
        <w:right w:val="none" w:sz="0" w:space="0" w:color="auto"/>
      </w:divBdr>
    </w:div>
    <w:div w:id="809903168">
      <w:bodyDiv w:val="1"/>
      <w:marLeft w:val="0"/>
      <w:marRight w:val="0"/>
      <w:marTop w:val="0"/>
      <w:marBottom w:val="0"/>
      <w:divBdr>
        <w:top w:val="none" w:sz="0" w:space="0" w:color="auto"/>
        <w:left w:val="none" w:sz="0" w:space="0" w:color="auto"/>
        <w:bottom w:val="none" w:sz="0" w:space="0" w:color="auto"/>
        <w:right w:val="none" w:sz="0" w:space="0" w:color="auto"/>
      </w:divBdr>
    </w:div>
    <w:div w:id="1208882036">
      <w:bodyDiv w:val="1"/>
      <w:marLeft w:val="0"/>
      <w:marRight w:val="0"/>
      <w:marTop w:val="0"/>
      <w:marBottom w:val="0"/>
      <w:divBdr>
        <w:top w:val="none" w:sz="0" w:space="0" w:color="auto"/>
        <w:left w:val="none" w:sz="0" w:space="0" w:color="auto"/>
        <w:bottom w:val="none" w:sz="0" w:space="0" w:color="auto"/>
        <w:right w:val="none" w:sz="0" w:space="0" w:color="auto"/>
      </w:divBdr>
    </w:div>
    <w:div w:id="1476409468">
      <w:bodyDiv w:val="1"/>
      <w:marLeft w:val="0"/>
      <w:marRight w:val="0"/>
      <w:marTop w:val="0"/>
      <w:marBottom w:val="0"/>
      <w:divBdr>
        <w:top w:val="none" w:sz="0" w:space="0" w:color="auto"/>
        <w:left w:val="none" w:sz="0" w:space="0" w:color="auto"/>
        <w:bottom w:val="none" w:sz="0" w:space="0" w:color="auto"/>
        <w:right w:val="none" w:sz="0" w:space="0" w:color="auto"/>
      </w:divBdr>
    </w:div>
    <w:div w:id="1715500071">
      <w:bodyDiv w:val="1"/>
      <w:marLeft w:val="0"/>
      <w:marRight w:val="0"/>
      <w:marTop w:val="0"/>
      <w:marBottom w:val="0"/>
      <w:divBdr>
        <w:top w:val="none" w:sz="0" w:space="0" w:color="auto"/>
        <w:left w:val="none" w:sz="0" w:space="0" w:color="auto"/>
        <w:bottom w:val="none" w:sz="0" w:space="0" w:color="auto"/>
        <w:right w:val="none" w:sz="0" w:space="0" w:color="auto"/>
      </w:divBdr>
    </w:div>
    <w:div w:id="1839272283">
      <w:bodyDiv w:val="1"/>
      <w:marLeft w:val="0"/>
      <w:marRight w:val="0"/>
      <w:marTop w:val="0"/>
      <w:marBottom w:val="0"/>
      <w:divBdr>
        <w:top w:val="none" w:sz="0" w:space="0" w:color="auto"/>
        <w:left w:val="none" w:sz="0" w:space="0" w:color="auto"/>
        <w:bottom w:val="none" w:sz="0" w:space="0" w:color="auto"/>
        <w:right w:val="none" w:sz="0" w:space="0" w:color="auto"/>
      </w:divBdr>
    </w:div>
    <w:div w:id="18423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2024-12-16T11:52:00Z</cp:lastPrinted>
  <dcterms:created xsi:type="dcterms:W3CDTF">2024-12-16T11:54:00Z</dcterms:created>
  <dcterms:modified xsi:type="dcterms:W3CDTF">2024-12-16T11:54:00Z</dcterms:modified>
</cp:coreProperties>
</file>