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577"/>
        <w:gridCol w:w="498"/>
        <w:gridCol w:w="699"/>
        <w:gridCol w:w="579"/>
        <w:gridCol w:w="752"/>
        <w:gridCol w:w="992"/>
        <w:gridCol w:w="1391"/>
      </w:tblGrid>
      <w:tr w:rsidR="004A5EA9" w:rsidRPr="00D2449B" w14:paraId="230E00AF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554E5F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7A8464B7" w:rsidR="00837F4F" w:rsidRPr="00D2449B" w:rsidRDefault="00722B6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LW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78D156C1" w:rsidR="00837F4F" w:rsidRPr="00D2449B" w:rsidRDefault="002329F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08/01/25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7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53D681F6" w:rsidR="00837F4F" w:rsidRPr="00D2449B" w:rsidRDefault="00554E5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52E73E4C" w:rsidR="00837F4F" w:rsidRPr="00D2449B" w:rsidRDefault="00554E5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08/01/25</w:t>
            </w:r>
          </w:p>
        </w:tc>
      </w:tr>
      <w:tr w:rsidR="004A5EA9" w:rsidRPr="00D2449B" w14:paraId="2094A164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554E5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59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05D013E8" w:rsidR="004A5EA9" w:rsidRPr="00250879" w:rsidRDefault="00722B60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722B60">
              <w:rPr>
                <w:rFonts w:ascii="Calibri" w:hAnsi="Calibri"/>
                <w:szCs w:val="22"/>
              </w:rPr>
              <w:t>3/2024/0916</w:t>
            </w:r>
          </w:p>
        </w:tc>
        <w:tc>
          <w:tcPr>
            <w:tcW w:w="3714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554E5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280ADB8C" w:rsidR="00824DB6" w:rsidRPr="00C0704D" w:rsidRDefault="00722B60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3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3D37CBF0" w:rsidR="00824DB6" w:rsidRPr="00C0704D" w:rsidRDefault="00722B60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554E5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59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0F14BE23" w:rsidR="004A5EA9" w:rsidRPr="00250879" w:rsidRDefault="00722B6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722B60">
              <w:rPr>
                <w:rFonts w:ascii="Calibri" w:hAnsi="Calibri"/>
                <w:szCs w:val="22"/>
              </w:rPr>
              <w:t>LW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554E5F">
        <w:trPr>
          <w:jc w:val="center"/>
        </w:trPr>
        <w:tc>
          <w:tcPr>
            <w:tcW w:w="5894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66805BA3" w:rsidR="004A5EA9" w:rsidRPr="00D2449B" w:rsidRDefault="0084491F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554E5F">
        <w:trPr>
          <w:trHeight w:hRule="exact" w:val="170"/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554E5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1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7711DE3B" w:rsidR="004A5EA9" w:rsidRPr="002C6277" w:rsidRDefault="0072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demolition of existing timber shed and construction of detached double garage. </w:t>
            </w:r>
          </w:p>
        </w:tc>
      </w:tr>
      <w:tr w:rsidR="002A01CF" w:rsidRPr="00D2449B" w14:paraId="52988241" w14:textId="77777777" w:rsidTr="00554E5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1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017647C6" w:rsidR="002A01CF" w:rsidRPr="002C6277" w:rsidRDefault="00722B60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Brock Barn, Commons Lane, Balderstone, BB2 7LP. </w:t>
            </w:r>
          </w:p>
        </w:tc>
      </w:tr>
      <w:tr w:rsidR="00A95D89" w:rsidRPr="00D2449B" w14:paraId="3FB99B2E" w14:textId="77777777" w:rsidTr="00554E5F">
        <w:trPr>
          <w:trHeight w:hRule="exact" w:val="170"/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554E5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1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7D849D27" w:rsidR="002A01CF" w:rsidRPr="00722B60" w:rsidRDefault="00722B60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C618DB" w:rsidRPr="00D2449B" w14:paraId="639E958B" w14:textId="77777777" w:rsidTr="00554E5F">
        <w:trPr>
          <w:trHeight w:hRule="exact" w:val="170"/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554E5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1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554E5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71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5ADDB9C8" w:rsidR="002A01CF" w:rsidRPr="00722B60" w:rsidRDefault="00722B60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C0704D" w:rsidRPr="00D2449B" w14:paraId="62663AAF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554E5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1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3B300D49" w:rsidR="00C0704D" w:rsidRPr="00C0704D" w:rsidRDefault="00722B60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C0704D" w:rsidRPr="00D2449B" w14:paraId="1CDFA4C3" w14:textId="77777777" w:rsidTr="00554E5F">
        <w:trPr>
          <w:trHeight w:hRule="exact" w:val="170"/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3E543" w14:textId="77777777" w:rsidR="00722B60" w:rsidRPr="00722B60" w:rsidRDefault="00722B60" w:rsidP="00722B60">
            <w:pPr>
              <w:rPr>
                <w:rFonts w:ascii="Calibri" w:hAnsi="Calibri"/>
                <w:szCs w:val="22"/>
              </w:rPr>
            </w:pPr>
            <w:r w:rsidRPr="00722B60">
              <w:rPr>
                <w:rFonts w:ascii="Calibri" w:hAnsi="Calibri"/>
                <w:szCs w:val="22"/>
              </w:rPr>
              <w:t xml:space="preserve">Schedule 2 Part 1 Class E of the Town and Country Planning (General Permitted Development) (England) Order 2015 (as amended). </w:t>
            </w:r>
          </w:p>
          <w:p w14:paraId="6C4C318E" w14:textId="77777777" w:rsidR="008542DE" w:rsidRPr="00D2449B" w:rsidRDefault="008542DE" w:rsidP="00722B60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5C57882A" w14:textId="250F999D" w:rsidR="00722B60" w:rsidRPr="00722B60" w:rsidRDefault="00722B60" w:rsidP="00C0704D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3/2004/0080: Alteration and extension to existing house (Approved). </w:t>
            </w:r>
          </w:p>
          <w:p w14:paraId="17147D50" w14:textId="1B19B3D1" w:rsidR="0046548C" w:rsidRPr="00D2449B" w:rsidRDefault="0046548C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554E5F">
        <w:trPr>
          <w:trHeight w:hRule="exact" w:val="170"/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9198595" w14:textId="75E406E0" w:rsidR="00C0704D" w:rsidRDefault="00722B60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two-storey detached residential property known as Brock Barn situated to the southern side of Commons Lane. The site to which the proposal relates is located within the Open Countryside, approximately </w:t>
            </w:r>
            <w:r w:rsidR="002329FF">
              <w:rPr>
                <w:rFonts w:ascii="Calibri" w:hAnsi="Calibri"/>
                <w:bCs/>
                <w:szCs w:val="22"/>
              </w:rPr>
              <w:t>450m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2329FF">
              <w:rPr>
                <w:rFonts w:ascii="Calibri" w:hAnsi="Calibri"/>
                <w:bCs/>
                <w:szCs w:val="22"/>
              </w:rPr>
              <w:t>west</w:t>
            </w:r>
            <w:r>
              <w:rPr>
                <w:rFonts w:ascii="Calibri" w:hAnsi="Calibri"/>
                <w:bCs/>
                <w:szCs w:val="22"/>
              </w:rPr>
              <w:t xml:space="preserve"> of the defined settlement area of </w:t>
            </w:r>
            <w:r w:rsidR="002329FF">
              <w:rPr>
                <w:rFonts w:ascii="Calibri" w:hAnsi="Calibri"/>
                <w:bCs/>
                <w:szCs w:val="22"/>
              </w:rPr>
              <w:t>Osbaldeston</w:t>
            </w:r>
            <w:r>
              <w:rPr>
                <w:rFonts w:ascii="Calibri" w:hAnsi="Calibri"/>
                <w:bCs/>
                <w:szCs w:val="22"/>
              </w:rPr>
              <w:t xml:space="preserve"> and the surrounding area is predominantly rural in nature. </w:t>
            </w:r>
          </w:p>
          <w:p w14:paraId="62370E9F" w14:textId="7295B23B" w:rsidR="00722B60" w:rsidRPr="006C2BFA" w:rsidRDefault="00722B60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CE67C85" w14:textId="4FD28E61" w:rsidR="00722B60" w:rsidRDefault="00722B60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seeks a Certificate of Lawfulness for the demolition of an existing timber shed and construction of a detached double garage. </w:t>
            </w:r>
          </w:p>
          <w:p w14:paraId="160A43DF" w14:textId="77777777" w:rsidR="00722B60" w:rsidRDefault="00722B60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3366BC3C" w14:textId="50DB21D4" w:rsidR="00722B60" w:rsidRDefault="00722B60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proposed garage would measure </w:t>
            </w:r>
            <w:r w:rsidR="002303BF">
              <w:rPr>
                <w:rFonts w:ascii="Calibri" w:hAnsi="Calibri"/>
                <w:bCs/>
                <w:szCs w:val="22"/>
              </w:rPr>
              <w:t>10.6m</w:t>
            </w:r>
            <w:r>
              <w:rPr>
                <w:rFonts w:ascii="Calibri" w:hAnsi="Calibri"/>
                <w:bCs/>
                <w:szCs w:val="22"/>
              </w:rPr>
              <w:t xml:space="preserve"> by </w:t>
            </w:r>
            <w:r w:rsidR="002303BF">
              <w:rPr>
                <w:rFonts w:ascii="Calibri" w:hAnsi="Calibri"/>
                <w:bCs/>
                <w:szCs w:val="22"/>
              </w:rPr>
              <w:t>6.6m</w:t>
            </w:r>
            <w:r>
              <w:rPr>
                <w:rFonts w:ascii="Calibri" w:hAnsi="Calibri"/>
                <w:bCs/>
                <w:szCs w:val="22"/>
              </w:rPr>
              <w:t xml:space="preserve"> and would incorporate a pitched roof form with an eaves and ridge height of </w:t>
            </w:r>
            <w:r w:rsidR="002303BF">
              <w:rPr>
                <w:rFonts w:ascii="Calibri" w:hAnsi="Calibri"/>
                <w:bCs/>
                <w:szCs w:val="22"/>
              </w:rPr>
              <w:t>2.4m</w:t>
            </w:r>
            <w:r>
              <w:rPr>
                <w:rFonts w:ascii="Calibri" w:hAnsi="Calibri"/>
                <w:bCs/>
                <w:szCs w:val="22"/>
              </w:rPr>
              <w:t xml:space="preserve"> and </w:t>
            </w:r>
            <w:r w:rsidR="002303BF">
              <w:rPr>
                <w:rFonts w:ascii="Calibri" w:hAnsi="Calibri"/>
                <w:bCs/>
                <w:szCs w:val="22"/>
              </w:rPr>
              <w:t>4m</w:t>
            </w:r>
            <w:r>
              <w:rPr>
                <w:rFonts w:ascii="Calibri" w:hAnsi="Calibri"/>
                <w:bCs/>
                <w:szCs w:val="22"/>
              </w:rPr>
              <w:t xml:space="preserve"> respectively. </w:t>
            </w:r>
            <w:r w:rsidR="002303BF">
              <w:rPr>
                <w:rFonts w:ascii="Calibri" w:hAnsi="Calibri"/>
                <w:bCs/>
                <w:szCs w:val="22"/>
              </w:rPr>
              <w:t xml:space="preserve">To the front (north-east) elevation, 2no. garage doors would be featured, along with a personnel door and 1no. window to the south-eastern side elevation. </w:t>
            </w:r>
          </w:p>
          <w:p w14:paraId="210AFB3F" w14:textId="77777777" w:rsidR="00722B60" w:rsidRDefault="00722B60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11B31730" w14:textId="59F6667C" w:rsidR="00722B60" w:rsidRPr="00722B60" w:rsidRDefault="00722B60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In respect to materiality, the proposal would be</w:t>
            </w:r>
            <w:r w:rsidR="002303BF">
              <w:rPr>
                <w:rFonts w:ascii="Calibri" w:hAnsi="Calibri"/>
                <w:bCs/>
                <w:szCs w:val="22"/>
              </w:rPr>
              <w:t xml:space="preserve"> finished in stone to the external elevations and stone slab roofing. </w:t>
            </w:r>
          </w:p>
          <w:p w14:paraId="1B20488F" w14:textId="77777777" w:rsidR="00C0704D" w:rsidRPr="00D54E67" w:rsidRDefault="00C0704D" w:rsidP="002F2580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7B96C947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Pr="002303BF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2303BF"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413AC146" w14:textId="77777777" w:rsidR="00C0704D" w:rsidRPr="002303BF" w:rsidRDefault="00C0704D" w:rsidP="00E46243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6B6E8B0B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Assessment of the proposal in relation to the provisions of Schedule 2 Part 1 Class E of the Town and Country Planning (General Permitted Development) (England) Order 2015 (as amended). </w:t>
            </w:r>
          </w:p>
          <w:p w14:paraId="0AD90A01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43617625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In order to be permitted development, the proposed development needs to satisfy a number of criteria as comprised in Schedule 2 Part 1 Class E of the Town and Country Planning (General Permitted Development) (England) Order 2015 (as amended) for any building required for a purpose incidental to the enjoyment of the dwellinghouse. </w:t>
            </w:r>
          </w:p>
          <w:p w14:paraId="0CFE429C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114E13FF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E.1 Development is not permitted by Class E if – </w:t>
            </w:r>
          </w:p>
          <w:p w14:paraId="7B61CF63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  <w:u w:val="single"/>
              </w:rPr>
            </w:pPr>
          </w:p>
          <w:p w14:paraId="725DFA2E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Permission to use the dwellinghouse as a dwellinghouse has been granted only by virtue of Class G, M, MA, N, P, PA, or Q of Part 3 of this Schedule (changes of use); </w:t>
            </w:r>
          </w:p>
          <w:p w14:paraId="1A53A23C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1583A474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Permission to use the dwellinghouse as a dwellinghouse has not been granted only by virtue of Class G, M, MA, N, P, PA or Q of Part 3 of this Schedule. </w:t>
            </w:r>
          </w:p>
          <w:p w14:paraId="7648A2A5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5B949019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The total area of ground covered by buildings, enclosures and containers within the curtilage (other than the original dwellinghouse) would exceed 50% of the total area of the curtilage (excluding the ground area of the original dwellinghouse); </w:t>
            </w:r>
          </w:p>
          <w:p w14:paraId="6D68E82B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6C9FB8B2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proposed development would not result in the total area of ground covered within the curtilage to exceed more than 50%. </w:t>
            </w:r>
          </w:p>
          <w:p w14:paraId="467D8744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58BB0641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Any part of the building, enclosure, pool or container would be situated on land forward of a wall forming the principal elevation of the original dwellinghouse; </w:t>
            </w:r>
          </w:p>
          <w:p w14:paraId="19EBE18E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0938B452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proposed building would not be sited on land forward of the principal elevation of the dwellinghouse. </w:t>
            </w:r>
          </w:p>
          <w:p w14:paraId="5F6A55F3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0D7032E8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The building would have more than a single storey; </w:t>
            </w:r>
          </w:p>
          <w:p w14:paraId="245DA9C7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3846F350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proposal would not have more than a single storey. </w:t>
            </w:r>
          </w:p>
          <w:p w14:paraId="14F10A80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7E2C7A15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The height of the building, enclosure or container would exceed – </w:t>
            </w:r>
          </w:p>
          <w:p w14:paraId="0B547091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416F24BF" w14:textId="77777777" w:rsidR="002303BF" w:rsidRPr="002303BF" w:rsidRDefault="002303BF" w:rsidP="002303BF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>4 metres in the case of building with a dual-pitched roof,</w:t>
            </w:r>
          </w:p>
          <w:p w14:paraId="5FE18475" w14:textId="77777777" w:rsidR="002303BF" w:rsidRPr="002303BF" w:rsidRDefault="002303BF" w:rsidP="002303BF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>2.5 metres in the case of a building, enclosure or container within 2 metres of the boundary of the curtilage of the dwellinghouse, or</w:t>
            </w:r>
          </w:p>
          <w:p w14:paraId="69A36ADF" w14:textId="77777777" w:rsidR="002303BF" w:rsidRPr="002303BF" w:rsidRDefault="002303BF" w:rsidP="002303BF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3 metres in any other case; </w:t>
            </w:r>
          </w:p>
          <w:p w14:paraId="3D47DC35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08D7A603" w14:textId="49B19836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proposed building would </w:t>
            </w:r>
            <w:r>
              <w:rPr>
                <w:rFonts w:ascii="Calibri" w:hAnsi="Calibri"/>
                <w:b/>
                <w:bCs/>
                <w:szCs w:val="22"/>
              </w:rPr>
              <w:t>not be</w:t>
            </w:r>
            <w:r w:rsidRPr="002303BF">
              <w:rPr>
                <w:rFonts w:ascii="Calibri" w:hAnsi="Calibri"/>
                <w:b/>
                <w:bCs/>
                <w:szCs w:val="22"/>
              </w:rPr>
              <w:t xml:space="preserve"> within 2m of the boundary of the curtilage of the dwellinghouse </w:t>
            </w:r>
            <w:r>
              <w:rPr>
                <w:rFonts w:ascii="Calibri" w:hAnsi="Calibri"/>
                <w:b/>
                <w:bCs/>
                <w:szCs w:val="22"/>
              </w:rPr>
              <w:t xml:space="preserve">and would not exceed 4m in height. </w:t>
            </w:r>
          </w:p>
          <w:p w14:paraId="540882E0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6591B7A5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The height of the eaves of the building would exceed 2.5 metres; </w:t>
            </w:r>
          </w:p>
          <w:p w14:paraId="223F20D7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6ADBA129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eaves height of the proposed development would not exceed 2.5m. </w:t>
            </w:r>
          </w:p>
          <w:p w14:paraId="06C27F8F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6EA44685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lastRenderedPageBreak/>
              <w:t xml:space="preserve">The building, enclosure, pool or container would be situated within the curtilage of a listed building; </w:t>
            </w:r>
          </w:p>
          <w:p w14:paraId="2F3257A6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1798C2E5" w14:textId="77777777" w:rsid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proposal would not be sited within the curtilage of a Listed Building. </w:t>
            </w:r>
          </w:p>
          <w:p w14:paraId="03E02212" w14:textId="77777777" w:rsid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46E24604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It would include the construction or provision of a verandah, balcony or raised platform; </w:t>
            </w:r>
          </w:p>
          <w:p w14:paraId="71A4F48C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60468AAE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proposed development would not include any of the above. </w:t>
            </w:r>
          </w:p>
          <w:p w14:paraId="0D431DBD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62D89E0B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It relates to a dwelling or microwave antenna; </w:t>
            </w:r>
          </w:p>
          <w:p w14:paraId="2B3409A7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0663169A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development does not relate to either of the above. </w:t>
            </w:r>
          </w:p>
          <w:p w14:paraId="2266B7A3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599FA9B3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>The capacity of the container would exceed 3,500 litres; or</w:t>
            </w:r>
          </w:p>
          <w:p w14:paraId="5D3E2ECA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3595D167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proposal does not relate to a container with a capacity exceeding 3,500 litres. </w:t>
            </w:r>
          </w:p>
          <w:p w14:paraId="4F8F23F9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4163F334" w14:textId="77777777" w:rsidR="002303BF" w:rsidRPr="002303BF" w:rsidRDefault="002303BF" w:rsidP="002303BF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The dwellinghouse is built under Part 20 of this Schedule (construction of new dwellinghouses). </w:t>
            </w:r>
          </w:p>
          <w:p w14:paraId="3275F360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72066969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dwelling is not built under Part 20 of this Schedule. </w:t>
            </w:r>
          </w:p>
          <w:p w14:paraId="7B06E28B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522DE302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E.2 In the case of any land within the curtilage of the dwellinghouse which is within – </w:t>
            </w:r>
          </w:p>
          <w:p w14:paraId="456AAEF3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28C67759" w14:textId="77777777" w:rsidR="002303BF" w:rsidRPr="002303BF" w:rsidRDefault="002303BF" w:rsidP="002303BF">
            <w:pPr>
              <w:numPr>
                <w:ilvl w:val="0"/>
                <w:numId w:val="4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>An area of outstanding natural beauty;</w:t>
            </w:r>
          </w:p>
          <w:p w14:paraId="60DD475B" w14:textId="77777777" w:rsidR="002303BF" w:rsidRPr="002303BF" w:rsidRDefault="002303BF" w:rsidP="002303BF">
            <w:pPr>
              <w:numPr>
                <w:ilvl w:val="0"/>
                <w:numId w:val="4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>The Broads;</w:t>
            </w:r>
          </w:p>
          <w:p w14:paraId="2407467A" w14:textId="77777777" w:rsidR="002303BF" w:rsidRPr="002303BF" w:rsidRDefault="002303BF" w:rsidP="002303BF">
            <w:pPr>
              <w:numPr>
                <w:ilvl w:val="0"/>
                <w:numId w:val="4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>A National Park; or</w:t>
            </w:r>
          </w:p>
          <w:p w14:paraId="462776AF" w14:textId="77777777" w:rsidR="002303BF" w:rsidRPr="002303BF" w:rsidRDefault="002303BF" w:rsidP="002303BF">
            <w:pPr>
              <w:numPr>
                <w:ilvl w:val="0"/>
                <w:numId w:val="4"/>
              </w:num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>A World Heritage Site,</w:t>
            </w:r>
          </w:p>
          <w:p w14:paraId="7300F289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06655F3E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2303BF">
              <w:rPr>
                <w:rFonts w:ascii="Calibri" w:hAnsi="Calibri"/>
                <w:bCs/>
                <w:szCs w:val="22"/>
              </w:rPr>
              <w:t xml:space="preserve">Development is not permitted by Class E if the total area of ground covered by buildings, enclosures, pools and containers situated more than 20 metres from any wall of the dwellinghouse would exceed 10 square metres. </w:t>
            </w:r>
          </w:p>
          <w:p w14:paraId="7A038F88" w14:textId="77777777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75A65594" w14:textId="77777777" w:rsid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No curtilage of the application property falls within the above designations. </w:t>
            </w:r>
          </w:p>
          <w:p w14:paraId="6F3D2891" w14:textId="77777777" w:rsid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7BFF64E3" w14:textId="77777777" w:rsidR="002303BF" w:rsidRPr="002303BF" w:rsidRDefault="002303BF" w:rsidP="002303BF">
            <w:pPr>
              <w:contextualSpacing/>
              <w:rPr>
                <w:rFonts w:ascii="Calibri" w:hAnsi="Calibri"/>
                <w:szCs w:val="22"/>
              </w:rPr>
            </w:pPr>
            <w:r w:rsidRPr="002303BF">
              <w:rPr>
                <w:rFonts w:ascii="Calibri" w:hAnsi="Calibri"/>
                <w:szCs w:val="22"/>
              </w:rPr>
              <w:t xml:space="preserve">E.3 In the case of any land within the curtilage of the dwellinghouse which is article 2(3) land, development is not permitted by Class E if any part of the building, enclosure, pool or container would be situated on land between a wall forming a side elevation of the dwellinghouse and the boundary of the curtilage of the dwellinghouse. </w:t>
            </w:r>
          </w:p>
          <w:p w14:paraId="0FCE57B2" w14:textId="77777777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</w:p>
          <w:p w14:paraId="73286C97" w14:textId="2F6EA27B" w:rsidR="002303BF" w:rsidRPr="002303BF" w:rsidRDefault="002303BF" w:rsidP="002303BF">
            <w:pPr>
              <w:contextualSpacing/>
              <w:rPr>
                <w:rFonts w:ascii="Calibri" w:hAnsi="Calibri"/>
                <w:b/>
                <w:bCs/>
                <w:szCs w:val="22"/>
              </w:rPr>
            </w:pPr>
            <w:r w:rsidRPr="002303BF">
              <w:rPr>
                <w:rFonts w:ascii="Calibri" w:hAnsi="Calibri"/>
                <w:b/>
                <w:bCs/>
                <w:szCs w:val="22"/>
              </w:rPr>
              <w:t xml:space="preserve">The proposed building would not be sited on article 2(3) land.  </w:t>
            </w:r>
          </w:p>
          <w:p w14:paraId="7AC53BDF" w14:textId="3D29269C" w:rsidR="002303BF" w:rsidRPr="002303BF" w:rsidRDefault="002303BF" w:rsidP="002303BF">
            <w:pPr>
              <w:contextualSpacing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0A9D02B4" w14:textId="77777777" w:rsidTr="00554E5F">
        <w:trPr>
          <w:jc w:val="center"/>
        </w:trPr>
        <w:tc>
          <w:tcPr>
            <w:tcW w:w="960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2266CE82" w14:textId="0FD335F4" w:rsidR="002303BF" w:rsidRPr="002303BF" w:rsidRDefault="002303BF" w:rsidP="002303BF">
            <w:pPr>
              <w:pStyle w:val="Header"/>
              <w:contextualSpacing/>
              <w:rPr>
                <w:rFonts w:ascii="Calibri" w:hAnsi="Calibri"/>
                <w:szCs w:val="22"/>
              </w:rPr>
            </w:pPr>
            <w:r w:rsidRPr="002303BF">
              <w:rPr>
                <w:rFonts w:ascii="Calibri" w:hAnsi="Calibri"/>
                <w:szCs w:val="22"/>
              </w:rPr>
              <w:t xml:space="preserve">The </w:t>
            </w:r>
            <w:r>
              <w:rPr>
                <w:rFonts w:ascii="Calibri" w:hAnsi="Calibri"/>
                <w:szCs w:val="22"/>
              </w:rPr>
              <w:t>proposed development</w:t>
            </w:r>
            <w:r w:rsidRPr="002303BF">
              <w:rPr>
                <w:rFonts w:ascii="Calibri" w:hAnsi="Calibri"/>
                <w:szCs w:val="22"/>
              </w:rPr>
              <w:t xml:space="preserve"> constitutes permitted development under Schedule 2 Part 1 Class E of the Town and Country Planning (General Permitted Development) (England) Order 2015 (as amended). </w:t>
            </w:r>
          </w:p>
          <w:p w14:paraId="3A4BD7A7" w14:textId="216893E0" w:rsidR="00B57484" w:rsidRDefault="00B57484" w:rsidP="002303B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554E5F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409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59BE4C0F" w:rsidR="00C0704D" w:rsidRPr="00D2449B" w:rsidRDefault="006141A4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the Certificate of Lawfulness be granted. </w:t>
            </w:r>
          </w:p>
        </w:tc>
      </w:tr>
    </w:tbl>
    <w:p w14:paraId="513FB541" w14:textId="77777777" w:rsidR="00872C52" w:rsidRPr="00D2449B" w:rsidRDefault="00872C52">
      <w:pPr>
        <w:rPr>
          <w:rFonts w:ascii="Calibri" w:hAnsi="Calibri"/>
          <w:szCs w:val="22"/>
        </w:rPr>
      </w:pPr>
    </w:p>
    <w:sectPr w:rsidR="00872C52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AE3"/>
    <w:multiLevelType w:val="hybridMultilevel"/>
    <w:tmpl w:val="11347D90"/>
    <w:lvl w:ilvl="0" w:tplc="669CEF9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C42AE"/>
    <w:multiLevelType w:val="hybridMultilevel"/>
    <w:tmpl w:val="790E7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F41C8"/>
    <w:multiLevelType w:val="hybridMultilevel"/>
    <w:tmpl w:val="C80885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3"/>
  </w:num>
  <w:num w:numId="2" w16cid:durableId="874654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194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448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86DC4"/>
    <w:rsid w:val="000B5CB5"/>
    <w:rsid w:val="00130035"/>
    <w:rsid w:val="00161DFC"/>
    <w:rsid w:val="001D4F7A"/>
    <w:rsid w:val="002303BF"/>
    <w:rsid w:val="002329FF"/>
    <w:rsid w:val="00250879"/>
    <w:rsid w:val="0029334A"/>
    <w:rsid w:val="002A01CF"/>
    <w:rsid w:val="002A06C2"/>
    <w:rsid w:val="002C6277"/>
    <w:rsid w:val="002E30AC"/>
    <w:rsid w:val="002F2580"/>
    <w:rsid w:val="00321B6E"/>
    <w:rsid w:val="00440CB6"/>
    <w:rsid w:val="0046548C"/>
    <w:rsid w:val="004947BB"/>
    <w:rsid w:val="004A5EA9"/>
    <w:rsid w:val="004C2434"/>
    <w:rsid w:val="004F0649"/>
    <w:rsid w:val="00510FA2"/>
    <w:rsid w:val="00554E5F"/>
    <w:rsid w:val="00556ECD"/>
    <w:rsid w:val="005E1C6C"/>
    <w:rsid w:val="005E65DF"/>
    <w:rsid w:val="006141A4"/>
    <w:rsid w:val="00616F9B"/>
    <w:rsid w:val="00653AE0"/>
    <w:rsid w:val="00692B60"/>
    <w:rsid w:val="006A71AD"/>
    <w:rsid w:val="006C2BFA"/>
    <w:rsid w:val="006F6849"/>
    <w:rsid w:val="0070054B"/>
    <w:rsid w:val="00722B60"/>
    <w:rsid w:val="00773A66"/>
    <w:rsid w:val="00776AE2"/>
    <w:rsid w:val="007C791C"/>
    <w:rsid w:val="007D7DF4"/>
    <w:rsid w:val="007E0D23"/>
    <w:rsid w:val="007F16D6"/>
    <w:rsid w:val="00811771"/>
    <w:rsid w:val="00824DB6"/>
    <w:rsid w:val="00837F4F"/>
    <w:rsid w:val="0084491F"/>
    <w:rsid w:val="008542DE"/>
    <w:rsid w:val="00872C52"/>
    <w:rsid w:val="008A28C8"/>
    <w:rsid w:val="00992C6F"/>
    <w:rsid w:val="009F4443"/>
    <w:rsid w:val="00A42E82"/>
    <w:rsid w:val="00A579BB"/>
    <w:rsid w:val="00A63D55"/>
    <w:rsid w:val="00A95D89"/>
    <w:rsid w:val="00B57484"/>
    <w:rsid w:val="00B76166"/>
    <w:rsid w:val="00B93EB5"/>
    <w:rsid w:val="00BD3F03"/>
    <w:rsid w:val="00C0704D"/>
    <w:rsid w:val="00C25722"/>
    <w:rsid w:val="00C618DB"/>
    <w:rsid w:val="00D11007"/>
    <w:rsid w:val="00D17EB1"/>
    <w:rsid w:val="00D2449B"/>
    <w:rsid w:val="00D54E67"/>
    <w:rsid w:val="00DD62F6"/>
    <w:rsid w:val="00E46243"/>
    <w:rsid w:val="00E66534"/>
    <w:rsid w:val="00E72F6C"/>
    <w:rsid w:val="00EA09F9"/>
    <w:rsid w:val="00EC23C7"/>
    <w:rsid w:val="00ED00B7"/>
    <w:rsid w:val="00EF44E6"/>
    <w:rsid w:val="00F15AA3"/>
    <w:rsid w:val="00F50D41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Jane Tucker</cp:lastModifiedBy>
  <cp:revision>2</cp:revision>
  <cp:lastPrinted>2016-01-04T13:03:00Z</cp:lastPrinted>
  <dcterms:created xsi:type="dcterms:W3CDTF">2025-01-08T14:40:00Z</dcterms:created>
  <dcterms:modified xsi:type="dcterms:W3CDTF">2025-01-08T14:40:00Z</dcterms:modified>
</cp:coreProperties>
</file>