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5"/>
        <w:gridCol w:w="196"/>
        <w:gridCol w:w="307"/>
        <w:gridCol w:w="721"/>
        <w:gridCol w:w="696"/>
        <w:gridCol w:w="602"/>
        <w:gridCol w:w="905"/>
        <w:gridCol w:w="577"/>
        <w:gridCol w:w="1023"/>
        <w:gridCol w:w="1027"/>
        <w:gridCol w:w="1024"/>
      </w:tblGrid>
      <w:tr w:rsidR="004A5EA9" w:rsidRPr="00D2449B" w14:paraId="230E00AF" w14:textId="77777777" w:rsidTr="0012252D">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12252D">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005052" w:rsidRDefault="00837F4F" w:rsidP="00D2449B">
            <w:pPr>
              <w:jc w:val="center"/>
              <w:rPr>
                <w:rFonts w:ascii="Calibri" w:hAnsi="Calibri"/>
                <w:b/>
                <w:szCs w:val="22"/>
              </w:rPr>
            </w:pPr>
            <w:r w:rsidRPr="00005052">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005052" w:rsidRDefault="00837F4F" w:rsidP="00D2449B">
            <w:pPr>
              <w:jc w:val="center"/>
              <w:rPr>
                <w:rFonts w:ascii="Calibri" w:hAnsi="Calibri"/>
                <w:b/>
                <w:szCs w:val="22"/>
              </w:rPr>
            </w:pPr>
            <w:r w:rsidRPr="00005052">
              <w:rPr>
                <w:rFonts w:ascii="Calibri" w:hAnsi="Calibri"/>
                <w:b/>
                <w:szCs w:val="22"/>
              </w:rPr>
              <w:t>Officer:</w:t>
            </w:r>
          </w:p>
        </w:tc>
        <w:tc>
          <w:tcPr>
            <w:tcW w:w="102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3E8E102B" w:rsidR="00837F4F" w:rsidRPr="00005052" w:rsidRDefault="00C0174A" w:rsidP="00D2449B">
            <w:pPr>
              <w:jc w:val="center"/>
              <w:rPr>
                <w:rFonts w:ascii="Calibri" w:hAnsi="Calibri"/>
                <w:b/>
                <w:szCs w:val="22"/>
              </w:rPr>
            </w:pPr>
            <w:r w:rsidRPr="00005052">
              <w:rPr>
                <w:rFonts w:ascii="Calibri" w:hAnsi="Calibri"/>
                <w:b/>
                <w:szCs w:val="22"/>
              </w:rPr>
              <w:t>MC</w:t>
            </w:r>
          </w:p>
        </w:tc>
        <w:tc>
          <w:tcPr>
            <w:tcW w:w="102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005052" w:rsidRDefault="00837F4F" w:rsidP="00D2449B">
            <w:pPr>
              <w:jc w:val="center"/>
              <w:rPr>
                <w:rFonts w:ascii="Calibri" w:hAnsi="Calibri"/>
                <w:b/>
                <w:szCs w:val="22"/>
              </w:rPr>
            </w:pPr>
            <w:r w:rsidRPr="00005052">
              <w:rPr>
                <w:rFonts w:ascii="Calibri" w:hAnsi="Calibri"/>
                <w:b/>
                <w:szCs w:val="22"/>
              </w:rPr>
              <w:t>Date:</w:t>
            </w:r>
          </w:p>
        </w:tc>
        <w:tc>
          <w:tcPr>
            <w:tcW w:w="12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6279D01F" w:rsidR="00837F4F" w:rsidRPr="00005052" w:rsidRDefault="000C5402" w:rsidP="00D2449B">
            <w:pPr>
              <w:jc w:val="center"/>
              <w:rPr>
                <w:rFonts w:ascii="Calibri" w:hAnsi="Calibri"/>
                <w:b/>
                <w:szCs w:val="22"/>
              </w:rPr>
            </w:pPr>
            <w:r>
              <w:rPr>
                <w:rFonts w:ascii="Calibri" w:hAnsi="Calibri"/>
                <w:b/>
                <w:szCs w:val="22"/>
              </w:rPr>
              <w:t>22</w:t>
            </w:r>
            <w:r w:rsidR="00005052" w:rsidRPr="00005052">
              <w:rPr>
                <w:rFonts w:ascii="Calibri" w:hAnsi="Calibri"/>
                <w:b/>
                <w:szCs w:val="22"/>
              </w:rPr>
              <w:t>/01/2025</w:t>
            </w:r>
          </w:p>
        </w:tc>
        <w:tc>
          <w:tcPr>
            <w:tcW w:w="148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063C4C7D" w:rsidR="00837F4F" w:rsidRPr="00D2449B" w:rsidRDefault="00542273" w:rsidP="00D2449B">
            <w:pPr>
              <w:jc w:val="center"/>
              <w:rPr>
                <w:rFonts w:ascii="Calibri" w:hAnsi="Calibri"/>
                <w:b/>
                <w:szCs w:val="22"/>
              </w:rPr>
            </w:pPr>
            <w:r>
              <w:rPr>
                <w:rFonts w:ascii="Calibri" w:hAnsi="Calibri"/>
                <w:b/>
                <w:szCs w:val="22"/>
              </w:rPr>
              <w:t>LH</w:t>
            </w:r>
          </w:p>
        </w:tc>
        <w:tc>
          <w:tcPr>
            <w:tcW w:w="10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6CFA9E11" w:rsidR="00837F4F" w:rsidRPr="00D2449B" w:rsidRDefault="00542273" w:rsidP="00D2449B">
            <w:pPr>
              <w:jc w:val="center"/>
              <w:rPr>
                <w:rFonts w:ascii="Calibri" w:hAnsi="Calibri"/>
                <w:b/>
                <w:szCs w:val="22"/>
              </w:rPr>
            </w:pPr>
            <w:r>
              <w:rPr>
                <w:rFonts w:ascii="Calibri" w:hAnsi="Calibri"/>
                <w:b/>
                <w:szCs w:val="22"/>
              </w:rPr>
              <w:t>23/1/25</w:t>
            </w:r>
          </w:p>
        </w:tc>
      </w:tr>
      <w:tr w:rsidR="004A5EA9" w:rsidRPr="00D2449B" w14:paraId="2094A164" w14:textId="77777777" w:rsidTr="0012252D">
        <w:trPr>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12252D">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408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65C14F6C" w:rsidR="004A5EA9" w:rsidRPr="00250879" w:rsidRDefault="00876205" w:rsidP="008542DE">
            <w:pPr>
              <w:rPr>
                <w:rFonts w:ascii="Calibri" w:hAnsi="Calibri"/>
                <w:color w:val="548DD4" w:themeColor="text2" w:themeTint="99"/>
                <w:szCs w:val="22"/>
              </w:rPr>
            </w:pPr>
            <w:r>
              <w:rPr>
                <w:rFonts w:ascii="Calibri" w:hAnsi="Calibri"/>
                <w:szCs w:val="22"/>
              </w:rPr>
              <w:t>3/2024/0928</w:t>
            </w:r>
          </w:p>
        </w:tc>
        <w:tc>
          <w:tcPr>
            <w:tcW w:w="3651"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12252D">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5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7AE7C47A" w:rsidR="00824DB6" w:rsidRPr="00C0704D" w:rsidRDefault="00BD0CBB" w:rsidP="002C6277">
            <w:pPr>
              <w:rPr>
                <w:rFonts w:ascii="Calibri" w:hAnsi="Calibri"/>
                <w:szCs w:val="22"/>
              </w:rPr>
            </w:pPr>
            <w:r>
              <w:rPr>
                <w:rFonts w:ascii="Calibri" w:hAnsi="Calibri"/>
                <w:szCs w:val="22"/>
              </w:rPr>
              <w:t>N/A</w:t>
            </w:r>
          </w:p>
        </w:tc>
        <w:tc>
          <w:tcPr>
            <w:tcW w:w="141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50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0481A0B6" w:rsidR="00824DB6" w:rsidRPr="00C0704D" w:rsidRDefault="00876205" w:rsidP="002C6277">
            <w:pPr>
              <w:rPr>
                <w:rFonts w:ascii="Calibri" w:hAnsi="Calibri"/>
                <w:szCs w:val="22"/>
              </w:rPr>
            </w:pPr>
            <w:r>
              <w:rPr>
                <w:rFonts w:ascii="Calibri" w:hAnsi="Calibri"/>
                <w:szCs w:val="22"/>
              </w:rPr>
              <w:t>26/11/2024</w:t>
            </w:r>
          </w:p>
        </w:tc>
        <w:tc>
          <w:tcPr>
            <w:tcW w:w="3651"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12252D">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408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5E5335CE" w:rsidR="004A5EA9" w:rsidRPr="00250879" w:rsidRDefault="00876205" w:rsidP="00811771">
            <w:pPr>
              <w:rPr>
                <w:rFonts w:ascii="Calibri" w:hAnsi="Calibri"/>
                <w:color w:val="548DD4" w:themeColor="text2" w:themeTint="99"/>
                <w:szCs w:val="22"/>
              </w:rPr>
            </w:pPr>
            <w:r>
              <w:rPr>
                <w:rFonts w:ascii="Calibri" w:hAnsi="Calibri"/>
                <w:szCs w:val="22"/>
              </w:rPr>
              <w:t>MC</w:t>
            </w:r>
          </w:p>
        </w:tc>
        <w:tc>
          <w:tcPr>
            <w:tcW w:w="3651"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12252D">
        <w:trPr>
          <w:jc w:val="center"/>
        </w:trPr>
        <w:tc>
          <w:tcPr>
            <w:tcW w:w="6317"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5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21E72095" w:rsidR="004A5EA9" w:rsidRPr="00D2449B" w:rsidRDefault="0012252D" w:rsidP="0012252D">
            <w:pPr>
              <w:jc w:val="center"/>
              <w:rPr>
                <w:rFonts w:ascii="Calibri" w:hAnsi="Calibri"/>
                <w:b/>
                <w:szCs w:val="22"/>
              </w:rPr>
            </w:pPr>
            <w:r>
              <w:rPr>
                <w:rFonts w:ascii="Calibri" w:hAnsi="Calibri"/>
                <w:b/>
                <w:szCs w:val="22"/>
              </w:rPr>
              <w:t>APPROVAL</w:t>
            </w:r>
          </w:p>
        </w:tc>
      </w:tr>
      <w:tr w:rsidR="004A5EA9" w:rsidRPr="00D2449B" w14:paraId="7813B96A" w14:textId="77777777" w:rsidTr="0012252D">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4B953041" w:rsidR="004A5EA9" w:rsidRPr="00D2449B" w:rsidRDefault="0012252D" w:rsidP="007E0D23">
            <w:pPr>
              <w:tabs>
                <w:tab w:val="left" w:pos="4007"/>
              </w:tabs>
              <w:rPr>
                <w:rFonts w:ascii="Calibri" w:hAnsi="Calibri"/>
                <w:b/>
                <w:szCs w:val="22"/>
              </w:rPr>
            </w:pPr>
            <w:r>
              <w:rPr>
                <w:rFonts w:ascii="Calibri" w:hAnsi="Calibri"/>
                <w:b/>
                <w:szCs w:val="22"/>
              </w:rPr>
              <w:t>`</w:t>
            </w:r>
          </w:p>
        </w:tc>
      </w:tr>
      <w:tr w:rsidR="004A5EA9" w:rsidRPr="00D2449B" w14:paraId="58F5F758" w14:textId="77777777" w:rsidTr="0012252D">
        <w:trPr>
          <w:jc w:val="center"/>
        </w:trPr>
        <w:tc>
          <w:tcPr>
            <w:tcW w:w="289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707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218E3578" w:rsidR="004A5EA9" w:rsidRPr="002C6277" w:rsidRDefault="00BD0CBB">
            <w:pPr>
              <w:rPr>
                <w:rFonts w:ascii="Calibri" w:hAnsi="Calibri"/>
                <w:szCs w:val="22"/>
              </w:rPr>
            </w:pPr>
            <w:r w:rsidRPr="00BD0CBB">
              <w:rPr>
                <w:rFonts w:ascii="Calibri" w:hAnsi="Calibri"/>
                <w:szCs w:val="22"/>
              </w:rPr>
              <w:t>Listed Building Consent for the regularisation of replacement trusses and purlins.</w:t>
            </w:r>
          </w:p>
        </w:tc>
      </w:tr>
      <w:tr w:rsidR="002A01CF" w:rsidRPr="00D2449B" w14:paraId="52988241" w14:textId="77777777" w:rsidTr="0012252D">
        <w:trPr>
          <w:jc w:val="center"/>
        </w:trPr>
        <w:tc>
          <w:tcPr>
            <w:tcW w:w="289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707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1D2BE92A" w:rsidR="002A01CF" w:rsidRPr="002C6277" w:rsidRDefault="00DA7EDA" w:rsidP="00A42E82">
            <w:pPr>
              <w:rPr>
                <w:rFonts w:ascii="Calibri" w:hAnsi="Calibri"/>
                <w:szCs w:val="22"/>
              </w:rPr>
            </w:pPr>
            <w:r w:rsidRPr="00DA7EDA">
              <w:rPr>
                <w:rFonts w:ascii="Calibri" w:hAnsi="Calibri"/>
                <w:szCs w:val="22"/>
              </w:rPr>
              <w:t>Barn 2</w:t>
            </w:r>
            <w:r>
              <w:rPr>
                <w:rFonts w:ascii="Calibri" w:hAnsi="Calibri"/>
                <w:szCs w:val="22"/>
              </w:rPr>
              <w:t>,</w:t>
            </w:r>
            <w:r w:rsidRPr="00DA7EDA">
              <w:rPr>
                <w:rFonts w:ascii="Calibri" w:hAnsi="Calibri"/>
                <w:szCs w:val="22"/>
              </w:rPr>
              <w:t xml:space="preserve"> Dinkling Green Farm</w:t>
            </w:r>
            <w:r>
              <w:rPr>
                <w:rFonts w:ascii="Calibri" w:hAnsi="Calibri"/>
                <w:szCs w:val="22"/>
              </w:rPr>
              <w:t>,</w:t>
            </w:r>
            <w:r w:rsidRPr="00DA7EDA">
              <w:rPr>
                <w:rFonts w:ascii="Calibri" w:hAnsi="Calibri"/>
                <w:szCs w:val="22"/>
              </w:rPr>
              <w:t xml:space="preserve"> Little Bowland Road</w:t>
            </w:r>
            <w:r>
              <w:rPr>
                <w:rFonts w:ascii="Calibri" w:hAnsi="Calibri"/>
                <w:szCs w:val="22"/>
              </w:rPr>
              <w:t>,</w:t>
            </w:r>
            <w:r w:rsidRPr="00DA7EDA">
              <w:rPr>
                <w:rFonts w:ascii="Calibri" w:hAnsi="Calibri"/>
                <w:szCs w:val="22"/>
              </w:rPr>
              <w:t xml:space="preserve"> Chipping BB7 3BN</w:t>
            </w:r>
          </w:p>
        </w:tc>
      </w:tr>
      <w:tr w:rsidR="00A95D89" w:rsidRPr="00D2449B" w14:paraId="3FB99B2E" w14:textId="77777777" w:rsidTr="0012252D">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12252D">
        <w:trPr>
          <w:jc w:val="center"/>
        </w:trPr>
        <w:tc>
          <w:tcPr>
            <w:tcW w:w="289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707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12252D">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79DEB99E" w:rsidR="002A01CF" w:rsidRPr="00DA7EDA" w:rsidRDefault="00DA7EDA">
            <w:pPr>
              <w:rPr>
                <w:rFonts w:ascii="Calibri" w:hAnsi="Calibri"/>
                <w:bCs/>
                <w:szCs w:val="22"/>
              </w:rPr>
            </w:pPr>
            <w:r w:rsidRPr="00DA7EDA">
              <w:rPr>
                <w:rFonts w:ascii="Calibri" w:hAnsi="Calibri"/>
                <w:bCs/>
                <w:szCs w:val="22"/>
              </w:rPr>
              <w:t xml:space="preserve">No objections. </w:t>
            </w:r>
          </w:p>
        </w:tc>
      </w:tr>
      <w:tr w:rsidR="00C618DB" w:rsidRPr="00D2449B" w14:paraId="639E958B" w14:textId="77777777" w:rsidTr="0012252D">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12252D">
        <w:trPr>
          <w:jc w:val="center"/>
        </w:trPr>
        <w:tc>
          <w:tcPr>
            <w:tcW w:w="289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707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748A0" w:rsidRPr="00D2449B" w14:paraId="2B1FCF85" w14:textId="77777777" w:rsidTr="0012252D">
        <w:trPr>
          <w:jc w:val="center"/>
        </w:trPr>
        <w:tc>
          <w:tcPr>
            <w:tcW w:w="289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9A6EC9" w14:textId="0D65ECE5" w:rsidR="002748A0" w:rsidRDefault="002748A0">
            <w:pPr>
              <w:rPr>
                <w:rFonts w:ascii="Calibri" w:hAnsi="Calibri"/>
                <w:b/>
                <w:szCs w:val="22"/>
              </w:rPr>
            </w:pPr>
            <w:r>
              <w:rPr>
                <w:rFonts w:ascii="Calibri" w:hAnsi="Calibri"/>
                <w:b/>
                <w:szCs w:val="22"/>
              </w:rPr>
              <w:t>Historic England:</w:t>
            </w:r>
          </w:p>
        </w:tc>
        <w:tc>
          <w:tcPr>
            <w:tcW w:w="707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8C08E" w14:textId="201C6DB3" w:rsidR="002748A0" w:rsidRDefault="000C5402">
            <w:pPr>
              <w:rPr>
                <w:rFonts w:ascii="Calibri" w:hAnsi="Calibri"/>
                <w:bCs/>
                <w:szCs w:val="22"/>
              </w:rPr>
            </w:pPr>
            <w:r>
              <w:rPr>
                <w:rFonts w:ascii="Calibri" w:hAnsi="Calibri"/>
                <w:bCs/>
                <w:szCs w:val="22"/>
              </w:rPr>
              <w:t xml:space="preserve">Historic England does not wish to offer advise on the application. </w:t>
            </w:r>
            <w:r w:rsidR="002748A0">
              <w:rPr>
                <w:rFonts w:ascii="Calibri" w:hAnsi="Calibri"/>
                <w:bCs/>
                <w:szCs w:val="22"/>
              </w:rPr>
              <w:t xml:space="preserve"> </w:t>
            </w:r>
          </w:p>
        </w:tc>
      </w:tr>
      <w:tr w:rsidR="002A01CF" w:rsidRPr="00D2449B" w14:paraId="1EA955B4" w14:textId="77777777" w:rsidTr="0012252D">
        <w:trPr>
          <w:jc w:val="center"/>
        </w:trPr>
        <w:tc>
          <w:tcPr>
            <w:tcW w:w="289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91B8357" w:rsidR="002A01CF" w:rsidRPr="00D2449B" w:rsidRDefault="0012252D">
            <w:pPr>
              <w:rPr>
                <w:rFonts w:ascii="Calibri" w:hAnsi="Calibri"/>
                <w:b/>
                <w:szCs w:val="22"/>
              </w:rPr>
            </w:pPr>
            <w:r>
              <w:rPr>
                <w:rFonts w:ascii="Calibri" w:hAnsi="Calibri"/>
                <w:b/>
                <w:szCs w:val="22"/>
              </w:rPr>
              <w:t>Heritage and Conservation Officer at Growth Lancashire:</w:t>
            </w:r>
          </w:p>
        </w:tc>
        <w:tc>
          <w:tcPr>
            <w:tcW w:w="707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3E95BC5B" w:rsidR="002A01CF" w:rsidRPr="00DA7EDA" w:rsidRDefault="0012252D">
            <w:pPr>
              <w:rPr>
                <w:rFonts w:ascii="Calibri" w:hAnsi="Calibri"/>
                <w:bCs/>
                <w:szCs w:val="22"/>
              </w:rPr>
            </w:pPr>
            <w:r>
              <w:rPr>
                <w:rFonts w:ascii="Calibri" w:hAnsi="Calibri"/>
                <w:bCs/>
                <w:szCs w:val="22"/>
              </w:rPr>
              <w:t>Following the sub</w:t>
            </w:r>
            <w:r w:rsidR="002748A0">
              <w:rPr>
                <w:rFonts w:ascii="Calibri" w:hAnsi="Calibri"/>
                <w:bCs/>
                <w:szCs w:val="22"/>
              </w:rPr>
              <w:t>mission of further information, the Heritage Officer considers that the development has resulted in moderate to high level of less than substantial harm to the Grade II Listed Building. They consider the LPA should assess whether the public benefits outweigh the harm of the scheme.</w:t>
            </w:r>
            <w:r w:rsidR="00DA7EDA">
              <w:rPr>
                <w:rFonts w:ascii="Calibri" w:hAnsi="Calibri"/>
                <w:bCs/>
                <w:szCs w:val="22"/>
              </w:rPr>
              <w:t xml:space="preserve"> </w:t>
            </w:r>
          </w:p>
        </w:tc>
      </w:tr>
      <w:tr w:rsidR="00C0704D" w:rsidRPr="00D2449B" w14:paraId="29EBDA1F" w14:textId="77777777" w:rsidTr="0012252D">
        <w:trPr>
          <w:jc w:val="center"/>
        </w:trPr>
        <w:tc>
          <w:tcPr>
            <w:tcW w:w="289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7078"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12252D">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5FB6CC84" w:rsidR="00C0704D" w:rsidRPr="00C0704D" w:rsidRDefault="00DA7EDA" w:rsidP="00692B60">
            <w:pPr>
              <w:rPr>
                <w:rFonts w:ascii="Calibri" w:hAnsi="Calibri"/>
                <w:szCs w:val="22"/>
              </w:rPr>
            </w:pPr>
            <w:r>
              <w:rPr>
                <w:rFonts w:ascii="Calibri" w:hAnsi="Calibri"/>
                <w:szCs w:val="22"/>
              </w:rPr>
              <w:t xml:space="preserve">None received. </w:t>
            </w:r>
          </w:p>
        </w:tc>
      </w:tr>
      <w:tr w:rsidR="00C0704D" w:rsidRPr="00D2449B" w14:paraId="1CDFA4C3" w14:textId="77777777" w:rsidTr="0012252D">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12252D">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12252D">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53158C7" w14:textId="77777777" w:rsidR="00E212E3" w:rsidRDefault="00E212E3" w:rsidP="00E212E3">
            <w:pPr>
              <w:pStyle w:val="PLANNING"/>
              <w:rPr>
                <w:rFonts w:ascii="Calibri" w:hAnsi="Calibri"/>
                <w:b/>
                <w:bCs/>
                <w:szCs w:val="22"/>
              </w:rPr>
            </w:pPr>
            <w:r>
              <w:rPr>
                <w:rFonts w:ascii="Calibri" w:hAnsi="Calibri"/>
                <w:b/>
                <w:bCs/>
                <w:szCs w:val="22"/>
              </w:rPr>
              <w:t>Ribble Valley Core Strategy:</w:t>
            </w:r>
          </w:p>
          <w:p w14:paraId="11279839" w14:textId="77777777" w:rsidR="00E212E3" w:rsidRDefault="00E212E3" w:rsidP="00E212E3">
            <w:pPr>
              <w:rPr>
                <w:rFonts w:ascii="Calibri" w:hAnsi="Calibri"/>
                <w:b/>
                <w:szCs w:val="22"/>
              </w:rPr>
            </w:pPr>
          </w:p>
          <w:p w14:paraId="37077296" w14:textId="77777777" w:rsidR="00E212E3" w:rsidRDefault="00E212E3" w:rsidP="00E212E3">
            <w:pPr>
              <w:pStyle w:val="PLANNING"/>
              <w:rPr>
                <w:rFonts w:ascii="Calibri" w:hAnsi="Calibri"/>
                <w:szCs w:val="22"/>
              </w:rPr>
            </w:pPr>
            <w:r>
              <w:rPr>
                <w:rFonts w:ascii="Calibri" w:hAnsi="Calibri"/>
                <w:szCs w:val="22"/>
              </w:rPr>
              <w:t>Key Statement DS1 – Development Strategy</w:t>
            </w:r>
          </w:p>
          <w:p w14:paraId="33C3C0F4" w14:textId="77777777" w:rsidR="00E212E3" w:rsidRDefault="00E212E3" w:rsidP="00E212E3">
            <w:pPr>
              <w:pStyle w:val="PLANNING"/>
              <w:rPr>
                <w:rFonts w:ascii="Calibri" w:hAnsi="Calibri"/>
                <w:szCs w:val="22"/>
              </w:rPr>
            </w:pPr>
            <w:r>
              <w:rPr>
                <w:rFonts w:ascii="Calibri" w:hAnsi="Calibri"/>
                <w:szCs w:val="22"/>
              </w:rPr>
              <w:t>Key Statement DS2 – Sustainable Development</w:t>
            </w:r>
          </w:p>
          <w:p w14:paraId="0B164FF3" w14:textId="21C9A227" w:rsidR="00E212E3" w:rsidRDefault="00E212E3" w:rsidP="00E212E3">
            <w:pPr>
              <w:pStyle w:val="PLANNING"/>
              <w:rPr>
                <w:rFonts w:ascii="Calibri" w:hAnsi="Calibri"/>
                <w:szCs w:val="22"/>
              </w:rPr>
            </w:pPr>
            <w:r>
              <w:rPr>
                <w:rFonts w:ascii="Calibri" w:hAnsi="Calibri"/>
                <w:szCs w:val="22"/>
              </w:rPr>
              <w:t>Key Statement EN2 – Landscape</w:t>
            </w:r>
          </w:p>
          <w:p w14:paraId="74207498" w14:textId="26859FE5" w:rsidR="00E212E3" w:rsidRDefault="00E212E3" w:rsidP="00E212E3">
            <w:pPr>
              <w:pStyle w:val="PLANNING"/>
              <w:rPr>
                <w:rFonts w:ascii="Calibri" w:hAnsi="Calibri"/>
                <w:szCs w:val="22"/>
              </w:rPr>
            </w:pPr>
            <w:r>
              <w:rPr>
                <w:rFonts w:ascii="Calibri" w:hAnsi="Calibri"/>
                <w:szCs w:val="22"/>
              </w:rPr>
              <w:t>Key Statement EN4 – Biodiversity and Geodiversity</w:t>
            </w:r>
          </w:p>
          <w:p w14:paraId="77CE3005" w14:textId="77777777" w:rsidR="00E212E3" w:rsidRDefault="00E212E3" w:rsidP="00E212E3">
            <w:pPr>
              <w:pStyle w:val="PLANNING"/>
              <w:rPr>
                <w:rFonts w:ascii="Calibri" w:hAnsi="Calibri"/>
                <w:szCs w:val="22"/>
              </w:rPr>
            </w:pPr>
            <w:r>
              <w:rPr>
                <w:rFonts w:ascii="Calibri" w:hAnsi="Calibri"/>
                <w:szCs w:val="22"/>
              </w:rPr>
              <w:t>Key Statement EN5 – Heritage Assets</w:t>
            </w:r>
          </w:p>
          <w:p w14:paraId="3C1538C9" w14:textId="77777777" w:rsidR="00E212E3" w:rsidRDefault="00E212E3" w:rsidP="00E212E3">
            <w:pPr>
              <w:pStyle w:val="PLANNING"/>
              <w:rPr>
                <w:rFonts w:ascii="Calibri" w:hAnsi="Calibri"/>
                <w:szCs w:val="22"/>
              </w:rPr>
            </w:pPr>
          </w:p>
          <w:p w14:paraId="1530525C" w14:textId="77777777" w:rsidR="00E212E3" w:rsidRDefault="00E212E3" w:rsidP="00E212E3">
            <w:pPr>
              <w:pStyle w:val="PLANNING"/>
              <w:rPr>
                <w:rFonts w:ascii="Calibri" w:hAnsi="Calibri"/>
                <w:szCs w:val="22"/>
              </w:rPr>
            </w:pPr>
            <w:r>
              <w:rPr>
                <w:rFonts w:ascii="Calibri" w:hAnsi="Calibri"/>
                <w:szCs w:val="22"/>
              </w:rPr>
              <w:t>Policy DMG1 – General Considerations</w:t>
            </w:r>
          </w:p>
          <w:p w14:paraId="79D45701" w14:textId="77777777" w:rsidR="00E212E3" w:rsidRDefault="00E212E3" w:rsidP="00E212E3">
            <w:pPr>
              <w:pStyle w:val="PLANNING"/>
              <w:rPr>
                <w:rFonts w:ascii="Calibri" w:hAnsi="Calibri"/>
                <w:szCs w:val="22"/>
              </w:rPr>
            </w:pPr>
            <w:r>
              <w:rPr>
                <w:rFonts w:ascii="Calibri" w:hAnsi="Calibri"/>
                <w:szCs w:val="22"/>
              </w:rPr>
              <w:t>Policy DMG2 – Strategic Considerations</w:t>
            </w:r>
          </w:p>
          <w:p w14:paraId="621ABB6B" w14:textId="77777777" w:rsidR="00E212E3" w:rsidRDefault="00E212E3" w:rsidP="00E212E3">
            <w:pPr>
              <w:pStyle w:val="PLANNING"/>
              <w:rPr>
                <w:rFonts w:ascii="Calibri" w:hAnsi="Calibri"/>
                <w:szCs w:val="22"/>
              </w:rPr>
            </w:pPr>
            <w:r>
              <w:rPr>
                <w:rFonts w:ascii="Calibri" w:hAnsi="Calibri"/>
                <w:szCs w:val="22"/>
              </w:rPr>
              <w:t>Policy DME4 – Protecting Heritage Assets</w:t>
            </w:r>
          </w:p>
          <w:p w14:paraId="3694F407" w14:textId="77777777" w:rsidR="00E212E3" w:rsidRDefault="00E212E3" w:rsidP="00E212E3">
            <w:pPr>
              <w:pStyle w:val="PLANNING"/>
              <w:rPr>
                <w:rFonts w:ascii="Calibri" w:hAnsi="Calibri"/>
                <w:szCs w:val="22"/>
              </w:rPr>
            </w:pPr>
          </w:p>
          <w:p w14:paraId="0B628990" w14:textId="77777777" w:rsidR="00E212E3" w:rsidRDefault="00E212E3" w:rsidP="00E212E3">
            <w:pPr>
              <w:pStyle w:val="PLANNING"/>
              <w:rPr>
                <w:rFonts w:ascii="Calibri" w:hAnsi="Calibri"/>
                <w:szCs w:val="22"/>
              </w:rPr>
            </w:pPr>
            <w:r>
              <w:rPr>
                <w:rFonts w:ascii="Calibri" w:hAnsi="Calibri"/>
                <w:szCs w:val="22"/>
              </w:rPr>
              <w:t>Planning (Listed Buildings and Conservation Areas) Act</w:t>
            </w:r>
          </w:p>
          <w:p w14:paraId="5E4404B2" w14:textId="77777777" w:rsidR="00E212E3" w:rsidRDefault="00E212E3" w:rsidP="00E212E3">
            <w:pPr>
              <w:rPr>
                <w:rFonts w:ascii="Calibri" w:hAnsi="Calibri"/>
                <w:szCs w:val="22"/>
              </w:rPr>
            </w:pPr>
            <w:r>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12252D">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772AD5BD" w14:textId="77777777" w:rsidR="00876205" w:rsidRDefault="00876205" w:rsidP="00C0704D">
            <w:pPr>
              <w:pStyle w:val="PLANNING"/>
              <w:rPr>
                <w:rFonts w:ascii="Calibri" w:hAnsi="Calibri"/>
                <w:b/>
                <w:bCs/>
                <w:szCs w:val="22"/>
              </w:rPr>
            </w:pPr>
          </w:p>
          <w:p w14:paraId="654EC96D" w14:textId="7D6A6ED5" w:rsidR="00876205" w:rsidRPr="00876205" w:rsidRDefault="00876205" w:rsidP="00C0704D">
            <w:pPr>
              <w:pStyle w:val="PLANNING"/>
              <w:rPr>
                <w:rFonts w:ascii="Calibri" w:hAnsi="Calibri"/>
                <w:b/>
                <w:bCs/>
                <w:szCs w:val="22"/>
              </w:rPr>
            </w:pPr>
            <w:r w:rsidRPr="00876205">
              <w:rPr>
                <w:rFonts w:ascii="Calibri" w:hAnsi="Calibri"/>
                <w:b/>
                <w:bCs/>
                <w:szCs w:val="22"/>
              </w:rPr>
              <w:t>3/2022/0750</w:t>
            </w:r>
          </w:p>
          <w:p w14:paraId="7FEDD218" w14:textId="36D35ACA" w:rsidR="00876205" w:rsidRPr="00876205" w:rsidRDefault="00876205" w:rsidP="00C0704D">
            <w:pPr>
              <w:pStyle w:val="PLANNING"/>
              <w:rPr>
                <w:rFonts w:ascii="Calibri" w:hAnsi="Calibri"/>
                <w:szCs w:val="22"/>
              </w:rPr>
            </w:pPr>
            <w:r w:rsidRPr="00876205">
              <w:rPr>
                <w:rFonts w:ascii="Calibri" w:hAnsi="Calibri"/>
                <w:szCs w:val="22"/>
              </w:rPr>
              <w:t>Proposed works to take down and rebuild portions of barn walls and re-roof as the existing timber structure is rotten in places. All works to be carried out on a like-for-like basis.</w:t>
            </w:r>
          </w:p>
          <w:p w14:paraId="196EB636" w14:textId="79803428" w:rsidR="00876205" w:rsidRPr="00876205" w:rsidRDefault="00876205" w:rsidP="00C0704D">
            <w:pPr>
              <w:pStyle w:val="PLANNING"/>
              <w:rPr>
                <w:rFonts w:ascii="Calibri" w:hAnsi="Calibri"/>
                <w:szCs w:val="22"/>
              </w:rPr>
            </w:pPr>
            <w:r>
              <w:rPr>
                <w:rFonts w:ascii="Calibri" w:hAnsi="Calibri"/>
                <w:szCs w:val="22"/>
              </w:rPr>
              <w:t>Approved with Conditions</w:t>
            </w:r>
          </w:p>
          <w:p w14:paraId="09A00624" w14:textId="77777777" w:rsidR="00876205" w:rsidRDefault="00876205" w:rsidP="00C0704D">
            <w:pPr>
              <w:pStyle w:val="PLANNING"/>
              <w:rPr>
                <w:rFonts w:ascii="Calibri" w:hAnsi="Calibri"/>
                <w:b/>
                <w:bCs/>
                <w:szCs w:val="22"/>
              </w:rPr>
            </w:pPr>
          </w:p>
          <w:p w14:paraId="21B0EA50" w14:textId="5FB8BB2B" w:rsidR="0046548C" w:rsidRPr="00E212E3" w:rsidRDefault="00876205" w:rsidP="00C0704D">
            <w:pPr>
              <w:pStyle w:val="PLANNING"/>
              <w:rPr>
                <w:rFonts w:ascii="Calibri" w:hAnsi="Calibri"/>
                <w:b/>
                <w:bCs/>
                <w:szCs w:val="22"/>
              </w:rPr>
            </w:pPr>
            <w:r>
              <w:rPr>
                <w:rFonts w:ascii="Calibri" w:hAnsi="Calibri"/>
                <w:b/>
                <w:bCs/>
                <w:szCs w:val="22"/>
              </w:rPr>
              <w:t>3/</w:t>
            </w:r>
            <w:r w:rsidR="00E212E3" w:rsidRPr="00E212E3">
              <w:rPr>
                <w:rFonts w:ascii="Calibri" w:hAnsi="Calibri"/>
                <w:b/>
                <w:bCs/>
                <w:szCs w:val="22"/>
              </w:rPr>
              <w:t>2022/0407:</w:t>
            </w:r>
          </w:p>
          <w:p w14:paraId="0E12E4A3" w14:textId="72384264" w:rsidR="0046548C" w:rsidRDefault="00E212E3" w:rsidP="00C0704D">
            <w:pPr>
              <w:pStyle w:val="PLANNING"/>
              <w:rPr>
                <w:rFonts w:ascii="Calibri" w:hAnsi="Calibri"/>
                <w:b/>
                <w:bCs/>
                <w:szCs w:val="22"/>
              </w:rPr>
            </w:pPr>
            <w:r w:rsidRPr="00E212E3">
              <w:rPr>
                <w:rFonts w:ascii="Calibri" w:hAnsi="Calibri"/>
                <w:szCs w:val="22"/>
              </w:rPr>
              <w:t>Certificate of Lawfulness for proposed works to take down and rebuild portions of barn walls and re-roof as the existing timber structure is rotten in places. All works to be carried out on a like-for-like basis</w:t>
            </w:r>
            <w:r>
              <w:rPr>
                <w:rFonts w:ascii="Calibri" w:hAnsi="Calibri"/>
                <w:szCs w:val="22"/>
              </w:rPr>
              <w:t xml:space="preserve"> – Withdrawn</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12252D">
        <w:trPr>
          <w:trHeight w:hRule="exact" w:val="170"/>
          <w:jc w:val="center"/>
        </w:trPr>
        <w:tc>
          <w:tcPr>
            <w:tcW w:w="996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12252D">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12252D">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0D3D3F76" w14:textId="77777777" w:rsidR="001C3BC8" w:rsidRDefault="00E212E3"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site </w:t>
            </w:r>
            <w:r w:rsidR="00876205">
              <w:rPr>
                <w:rFonts w:ascii="Calibri" w:hAnsi="Calibri"/>
                <w:bCs/>
                <w:szCs w:val="22"/>
              </w:rPr>
              <w:t>comprises</w:t>
            </w:r>
            <w:r w:rsidR="001C1F75">
              <w:rPr>
                <w:rFonts w:ascii="Calibri" w:hAnsi="Calibri"/>
                <w:bCs/>
                <w:szCs w:val="22"/>
              </w:rPr>
              <w:t xml:space="preserve"> </w:t>
            </w:r>
            <w:r w:rsidR="00876205">
              <w:rPr>
                <w:rFonts w:ascii="Calibri" w:hAnsi="Calibri"/>
                <w:bCs/>
                <w:szCs w:val="22"/>
              </w:rPr>
              <w:t xml:space="preserve">a </w:t>
            </w:r>
            <w:r w:rsidR="001C1F75">
              <w:rPr>
                <w:rFonts w:ascii="Calibri" w:hAnsi="Calibri"/>
                <w:bCs/>
                <w:szCs w:val="22"/>
              </w:rPr>
              <w:t>historic barn building at Dinkling Green Farm</w:t>
            </w:r>
            <w:r w:rsidR="001C3BC8">
              <w:rPr>
                <w:rFonts w:ascii="Calibri" w:hAnsi="Calibri"/>
                <w:bCs/>
                <w:szCs w:val="22"/>
              </w:rPr>
              <w:t xml:space="preserve"> which has recently been granted listed building consent for re-roofing and the rebuilding of portions of the barn walls due to rotting of the existing timber structure.</w:t>
            </w:r>
          </w:p>
          <w:p w14:paraId="14409E8B" w14:textId="77777777" w:rsidR="001C3BC8" w:rsidRDefault="001C3BC8" w:rsidP="00B93EB5">
            <w:pPr>
              <w:pStyle w:val="Header"/>
              <w:tabs>
                <w:tab w:val="clear" w:pos="4153"/>
                <w:tab w:val="clear" w:pos="8306"/>
              </w:tabs>
              <w:contextualSpacing/>
              <w:jc w:val="both"/>
              <w:rPr>
                <w:rFonts w:ascii="Calibri" w:hAnsi="Calibri"/>
                <w:bCs/>
                <w:szCs w:val="22"/>
              </w:rPr>
            </w:pPr>
          </w:p>
          <w:p w14:paraId="22157C99" w14:textId="6AFB12CA" w:rsidR="00C0704D" w:rsidRDefault="001C1F75"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3no. farm buildings directly to the south of Barn 2 are Grade II Listed, and whilst Barn 2 is not itself listed, </w:t>
            </w:r>
            <w:r w:rsidR="001C3BC8">
              <w:rPr>
                <w:rFonts w:ascii="Calibri" w:hAnsi="Calibri"/>
                <w:bCs/>
                <w:szCs w:val="22"/>
              </w:rPr>
              <w:t xml:space="preserve">it is considered to be curtilage </w:t>
            </w:r>
            <w:r w:rsidR="001C3BC8" w:rsidRPr="009C543B">
              <w:rPr>
                <w:rFonts w:ascii="Calibri" w:hAnsi="Calibri"/>
                <w:bCs/>
                <w:szCs w:val="22"/>
              </w:rPr>
              <w:t>listed.</w:t>
            </w:r>
            <w:r w:rsidRPr="009C543B">
              <w:rPr>
                <w:rFonts w:ascii="Calibri" w:hAnsi="Calibri"/>
                <w:bCs/>
                <w:szCs w:val="22"/>
              </w:rPr>
              <w:t xml:space="preserve"> </w:t>
            </w:r>
            <w:r w:rsidR="00853C18" w:rsidRPr="009C543B">
              <w:rPr>
                <w:rFonts w:ascii="Calibri" w:hAnsi="Calibri"/>
                <w:bCs/>
                <w:szCs w:val="22"/>
              </w:rPr>
              <w:t>The building itself is ‘L’ shaped with the longer portion of the structure sited north-south and a small dog-leg off the western elevation.</w:t>
            </w:r>
            <w:r w:rsidR="00853C18">
              <w:rPr>
                <w:rFonts w:ascii="Calibri" w:hAnsi="Calibri"/>
                <w:bCs/>
                <w:szCs w:val="22"/>
              </w:rPr>
              <w:t xml:space="preserve"> </w:t>
            </w:r>
          </w:p>
          <w:p w14:paraId="62370E9F" w14:textId="45659324" w:rsidR="009C543B" w:rsidRPr="00855615" w:rsidRDefault="009C543B" w:rsidP="009C543B">
            <w:pPr>
              <w:pStyle w:val="Header"/>
              <w:tabs>
                <w:tab w:val="clear" w:pos="4153"/>
                <w:tab w:val="clear" w:pos="8306"/>
              </w:tabs>
              <w:contextualSpacing/>
              <w:rPr>
                <w:rFonts w:ascii="Calibri" w:hAnsi="Calibri"/>
                <w:bCs/>
                <w:i/>
                <w:iCs/>
                <w:szCs w:val="22"/>
              </w:rPr>
            </w:pPr>
          </w:p>
        </w:tc>
      </w:tr>
      <w:tr w:rsidR="00C0704D" w:rsidRPr="00D2449B" w14:paraId="408C6380" w14:textId="77777777" w:rsidTr="0012252D">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4FA7AEF" w:rsidR="00C0704D" w:rsidRDefault="00C0704D" w:rsidP="00440CB6">
            <w:pPr>
              <w:pStyle w:val="Header"/>
              <w:tabs>
                <w:tab w:val="clear" w:pos="4153"/>
                <w:tab w:val="clear" w:pos="8306"/>
              </w:tabs>
              <w:jc w:val="both"/>
              <w:rPr>
                <w:rFonts w:ascii="Calibri" w:hAnsi="Calibri"/>
                <w:bCs/>
                <w:szCs w:val="22"/>
              </w:rPr>
            </w:pPr>
          </w:p>
          <w:p w14:paraId="0297973B" w14:textId="195B24B3" w:rsidR="00855615" w:rsidRDefault="00855615" w:rsidP="00440CB6">
            <w:pPr>
              <w:pStyle w:val="Header"/>
              <w:tabs>
                <w:tab w:val="clear" w:pos="4153"/>
                <w:tab w:val="clear" w:pos="8306"/>
              </w:tabs>
              <w:jc w:val="both"/>
              <w:rPr>
                <w:rFonts w:ascii="Calibri" w:hAnsi="Calibri"/>
                <w:bCs/>
                <w:szCs w:val="22"/>
              </w:rPr>
            </w:pPr>
            <w:r>
              <w:rPr>
                <w:rFonts w:ascii="Calibri" w:hAnsi="Calibri"/>
                <w:bCs/>
                <w:szCs w:val="22"/>
              </w:rPr>
              <w:t xml:space="preserve">Listed Building Consent is </w:t>
            </w:r>
            <w:r w:rsidR="001C3BC8">
              <w:rPr>
                <w:rFonts w:ascii="Calibri" w:hAnsi="Calibri"/>
                <w:bCs/>
                <w:szCs w:val="22"/>
              </w:rPr>
              <w:t xml:space="preserve">required for the regularisation of the replacement of roof trusses and purlins. </w:t>
            </w:r>
          </w:p>
          <w:p w14:paraId="187271C9" w14:textId="77777777" w:rsidR="00855615" w:rsidRDefault="00855615" w:rsidP="00440CB6">
            <w:pPr>
              <w:pStyle w:val="Header"/>
              <w:tabs>
                <w:tab w:val="clear" w:pos="4153"/>
                <w:tab w:val="clear" w:pos="8306"/>
              </w:tabs>
              <w:jc w:val="both"/>
              <w:rPr>
                <w:rFonts w:ascii="Calibri" w:hAnsi="Calibri"/>
                <w:bCs/>
                <w:szCs w:val="22"/>
              </w:rPr>
            </w:pPr>
          </w:p>
          <w:p w14:paraId="1055A082" w14:textId="77777777" w:rsidR="005D7F56" w:rsidRDefault="001C3BC8" w:rsidP="005D7F56">
            <w:pPr>
              <w:pStyle w:val="Header"/>
              <w:tabs>
                <w:tab w:val="clear" w:pos="4153"/>
                <w:tab w:val="clear" w:pos="8306"/>
              </w:tabs>
              <w:jc w:val="both"/>
              <w:rPr>
                <w:rFonts w:ascii="Calibri" w:hAnsi="Calibri"/>
                <w:bCs/>
                <w:szCs w:val="22"/>
              </w:rPr>
            </w:pPr>
            <w:r>
              <w:rPr>
                <w:rFonts w:ascii="Calibri" w:hAnsi="Calibri"/>
                <w:bCs/>
                <w:szCs w:val="22"/>
              </w:rPr>
              <w:t xml:space="preserve">The existing Oak A frame roof trusses and oak purlins have been replaced. The submitting Heritage Statement indicates that the timbers appeared to be original to the structure but were heavily affected by wood rot and wood beetle infestation. </w:t>
            </w:r>
            <w:r w:rsidR="005D7F56">
              <w:rPr>
                <w:rFonts w:ascii="Calibri" w:hAnsi="Calibri"/>
                <w:bCs/>
                <w:szCs w:val="22"/>
              </w:rPr>
              <w:t>The replacement of the trusses and purlins is on a like for like basis.</w:t>
            </w:r>
          </w:p>
          <w:p w14:paraId="1B20488F" w14:textId="1750C300" w:rsidR="00C0704D" w:rsidRPr="00D54E67" w:rsidRDefault="005D7F56" w:rsidP="005D7F56">
            <w:pPr>
              <w:pStyle w:val="Header"/>
              <w:tabs>
                <w:tab w:val="clear" w:pos="4153"/>
                <w:tab w:val="clear" w:pos="8306"/>
              </w:tabs>
              <w:jc w:val="both"/>
              <w:rPr>
                <w:rFonts w:ascii="Calibri" w:hAnsi="Calibri"/>
                <w:szCs w:val="22"/>
              </w:rPr>
            </w:pPr>
            <w:r>
              <w:rPr>
                <w:rFonts w:ascii="Calibri" w:hAnsi="Calibri"/>
                <w:bCs/>
                <w:szCs w:val="22"/>
              </w:rPr>
              <w:t xml:space="preserve"> </w:t>
            </w:r>
          </w:p>
        </w:tc>
      </w:tr>
      <w:tr w:rsidR="008542DE" w:rsidRPr="00D2449B" w14:paraId="2540EE5C" w14:textId="77777777" w:rsidTr="0012252D">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D1FF43" w14:textId="4C73F37C" w:rsidR="008542DE" w:rsidRPr="00BE2C02" w:rsidRDefault="008542DE" w:rsidP="008542DE">
            <w:pPr>
              <w:pStyle w:val="Header"/>
              <w:tabs>
                <w:tab w:val="clear" w:pos="4153"/>
                <w:tab w:val="clear" w:pos="8306"/>
              </w:tabs>
              <w:contextualSpacing/>
              <w:jc w:val="both"/>
              <w:rPr>
                <w:rFonts w:ascii="Calibri" w:hAnsi="Calibri"/>
                <w:b/>
                <w:szCs w:val="22"/>
              </w:rPr>
            </w:pPr>
            <w:r w:rsidRPr="00BE2C02">
              <w:rPr>
                <w:rFonts w:ascii="Calibri" w:hAnsi="Calibri"/>
                <w:b/>
                <w:szCs w:val="22"/>
              </w:rPr>
              <w:t>Impact upon Listed Building</w:t>
            </w:r>
            <w:r w:rsidR="009D6DBB" w:rsidRPr="00BE2C02">
              <w:rPr>
                <w:rFonts w:ascii="Calibri" w:hAnsi="Calibri"/>
                <w:b/>
                <w:szCs w:val="22"/>
              </w:rPr>
              <w:t xml:space="preserve"> and the </w:t>
            </w:r>
            <w:r w:rsidR="005D7F56">
              <w:rPr>
                <w:rFonts w:ascii="Calibri" w:hAnsi="Calibri"/>
                <w:b/>
                <w:szCs w:val="22"/>
              </w:rPr>
              <w:t>S</w:t>
            </w:r>
            <w:r w:rsidR="009D6DBB" w:rsidRPr="00BE2C02">
              <w:rPr>
                <w:rFonts w:ascii="Calibri" w:hAnsi="Calibri"/>
                <w:b/>
                <w:szCs w:val="22"/>
              </w:rPr>
              <w:t>etting</w:t>
            </w:r>
            <w:r w:rsidR="005D7F56">
              <w:rPr>
                <w:rFonts w:ascii="Calibri" w:hAnsi="Calibri"/>
                <w:b/>
                <w:szCs w:val="22"/>
              </w:rPr>
              <w:t>:</w:t>
            </w:r>
          </w:p>
          <w:p w14:paraId="6A2BDA66" w14:textId="77777777" w:rsidR="008542DE" w:rsidRPr="00BE2C02" w:rsidRDefault="008542DE" w:rsidP="0046548C">
            <w:pPr>
              <w:contextualSpacing/>
              <w:rPr>
                <w:rFonts w:ascii="Calibri" w:hAnsi="Calibri"/>
                <w:b/>
              </w:rPr>
            </w:pPr>
          </w:p>
          <w:p w14:paraId="55260059" w14:textId="77777777" w:rsidR="005D7F56" w:rsidRDefault="005D7F56" w:rsidP="0046548C">
            <w:pPr>
              <w:contextualSpacing/>
              <w:rPr>
                <w:rFonts w:ascii="Calibri" w:hAnsi="Calibri"/>
                <w:bCs/>
              </w:rPr>
            </w:pPr>
            <w:r>
              <w:rPr>
                <w:rFonts w:ascii="Calibri" w:hAnsi="Calibri"/>
                <w:bCs/>
              </w:rPr>
              <w:t>The listings for the adjacent listed buildings are as follows:</w:t>
            </w:r>
          </w:p>
          <w:p w14:paraId="42B77530" w14:textId="77777777" w:rsidR="005D7F56" w:rsidRDefault="005D7F56" w:rsidP="0046548C">
            <w:pPr>
              <w:contextualSpacing/>
              <w:rPr>
                <w:rFonts w:ascii="Calibri" w:hAnsi="Calibri"/>
                <w:bCs/>
              </w:rPr>
            </w:pPr>
          </w:p>
          <w:p w14:paraId="13178097" w14:textId="77777777" w:rsidR="005D7F56" w:rsidRDefault="005D7F56" w:rsidP="005D7F56">
            <w:pPr>
              <w:pStyle w:val="Header"/>
              <w:tabs>
                <w:tab w:val="clear" w:pos="4153"/>
                <w:tab w:val="clear" w:pos="8306"/>
              </w:tabs>
              <w:contextualSpacing/>
              <w:jc w:val="both"/>
              <w:rPr>
                <w:rFonts w:ascii="Calibri" w:hAnsi="Calibri"/>
                <w:bCs/>
                <w:i/>
                <w:iCs/>
                <w:szCs w:val="22"/>
              </w:rPr>
            </w:pPr>
            <w:r w:rsidRPr="00855615">
              <w:rPr>
                <w:rFonts w:ascii="Calibri" w:hAnsi="Calibri"/>
                <w:b/>
                <w:i/>
                <w:iCs/>
                <w:szCs w:val="22"/>
              </w:rPr>
              <w:t>Building in farmyard, 10 metres west of Dinkling Green Farmhouse</w:t>
            </w:r>
            <w:r>
              <w:rPr>
                <w:rFonts w:ascii="Calibri" w:hAnsi="Calibri"/>
                <w:bCs/>
                <w:i/>
                <w:iCs/>
                <w:szCs w:val="22"/>
              </w:rPr>
              <w:t xml:space="preserve"> - </w:t>
            </w:r>
            <w:r w:rsidRPr="00855615">
              <w:rPr>
                <w:rFonts w:ascii="Calibri" w:hAnsi="Calibri"/>
                <w:bCs/>
                <w:i/>
                <w:iCs/>
                <w:szCs w:val="22"/>
              </w:rPr>
              <w:t>GV II Farm building, possibly once a house. Sandstone rubble with slate roof. Two storeys. East wall, facing the farmyard, of two bays. The left-hand window surround, now with its central mullion missing, has an inner hollow chamfer and outer chamfer. The right-hand window is of two lights, mullioned and chamfered. On the first floor are two former two-light chamfered window surrounds. Between the bays is a door with plain reveals, with a door with plain stone surround at the right. The rear wall has a blocked one-light window at the left with crude plain stone surround, and a three-light mullioned window to its right with outer chamfer and inner hollow chamfer Further right is a blocked door with plain stone surround. Said to contain a cruck truss.</w:t>
            </w:r>
          </w:p>
          <w:p w14:paraId="07ACE5A5" w14:textId="77777777" w:rsidR="005D7F56" w:rsidRDefault="005D7F56" w:rsidP="005D7F56">
            <w:pPr>
              <w:pStyle w:val="Header"/>
              <w:tabs>
                <w:tab w:val="clear" w:pos="4153"/>
                <w:tab w:val="clear" w:pos="8306"/>
              </w:tabs>
              <w:contextualSpacing/>
              <w:jc w:val="both"/>
              <w:rPr>
                <w:rFonts w:ascii="Calibri" w:hAnsi="Calibri"/>
                <w:bCs/>
                <w:i/>
                <w:iCs/>
                <w:szCs w:val="22"/>
              </w:rPr>
            </w:pPr>
          </w:p>
          <w:p w14:paraId="0EF294AE" w14:textId="77777777" w:rsidR="005D7F56" w:rsidRDefault="005D7F56" w:rsidP="005D7F56">
            <w:pPr>
              <w:pStyle w:val="Header"/>
              <w:tabs>
                <w:tab w:val="clear" w:pos="4153"/>
                <w:tab w:val="clear" w:pos="8306"/>
              </w:tabs>
              <w:contextualSpacing/>
              <w:jc w:val="both"/>
              <w:rPr>
                <w:rFonts w:ascii="Calibri" w:hAnsi="Calibri"/>
                <w:bCs/>
                <w:i/>
                <w:iCs/>
                <w:szCs w:val="22"/>
              </w:rPr>
            </w:pPr>
            <w:r>
              <w:rPr>
                <w:rFonts w:ascii="Calibri" w:hAnsi="Calibri"/>
                <w:b/>
                <w:i/>
                <w:iCs/>
                <w:szCs w:val="22"/>
              </w:rPr>
              <w:t xml:space="preserve">Dinkling Green Farmhouse - </w:t>
            </w:r>
            <w:r w:rsidRPr="00855615">
              <w:rPr>
                <w:rFonts w:ascii="Calibri" w:hAnsi="Calibri"/>
                <w:bCs/>
                <w:i/>
                <w:iCs/>
                <w:szCs w:val="22"/>
              </w:rPr>
              <w:t>GV II Farmhouse, 'J H 1822' over back door. Sandstone rubble with slate roof. Two storeys, three bays. Windows sashed with glazing bars in plain stone surrounds. Door has plain stone surround and is between the first and second bays. Chimney on left-hand gable and between second and third bays.</w:t>
            </w:r>
          </w:p>
          <w:p w14:paraId="0B3E915C" w14:textId="77777777" w:rsidR="005D7F56" w:rsidRDefault="005D7F56" w:rsidP="005D7F56">
            <w:pPr>
              <w:pStyle w:val="Header"/>
              <w:tabs>
                <w:tab w:val="clear" w:pos="4153"/>
                <w:tab w:val="clear" w:pos="8306"/>
              </w:tabs>
              <w:contextualSpacing/>
              <w:jc w:val="both"/>
              <w:rPr>
                <w:rFonts w:ascii="Calibri" w:hAnsi="Calibri"/>
                <w:bCs/>
                <w:i/>
                <w:iCs/>
                <w:szCs w:val="22"/>
              </w:rPr>
            </w:pPr>
          </w:p>
          <w:p w14:paraId="7A5B2819" w14:textId="77777777" w:rsidR="005D7F56" w:rsidRPr="00855615" w:rsidRDefault="005D7F56" w:rsidP="005D7F56">
            <w:pPr>
              <w:pStyle w:val="Header"/>
              <w:contextualSpacing/>
              <w:jc w:val="both"/>
              <w:rPr>
                <w:rFonts w:ascii="Calibri" w:hAnsi="Calibri"/>
                <w:bCs/>
                <w:i/>
                <w:iCs/>
                <w:szCs w:val="22"/>
              </w:rPr>
            </w:pPr>
            <w:r>
              <w:rPr>
                <w:rFonts w:ascii="Calibri" w:hAnsi="Calibri"/>
                <w:b/>
                <w:i/>
                <w:iCs/>
                <w:szCs w:val="22"/>
              </w:rPr>
              <w:t xml:space="preserve">Farm store to the south east of Dinkling Green Farmhouse - </w:t>
            </w:r>
            <w:r w:rsidRPr="00855615">
              <w:rPr>
                <w:rFonts w:ascii="Calibri" w:hAnsi="Calibri"/>
                <w:bCs/>
                <w:i/>
                <w:iCs/>
                <w:szCs w:val="22"/>
              </w:rPr>
              <w:t>GV II Farm store, formerly a house, late C17. Rubble, mainly sandstone, with slate roof. three-unit plan. Two storeys. Windows mullioned with chamfered heads and sills and double chamfered jambs. The left-hand unit has a four-light window to the left of the door and a three-light window on the first floor. The doorway has chamfered jambs and a triangular head. The right-hand units have a five-light window to the left of the door, a three-light window to the right and two three-light windows on the first floor. The doorway has chamfered jambs and a triangular head. To the left of the five-light window is a blocked fire window with plain stone surround. The right-hand gable has a three-light window, a two-light window to an outshut, and a blocked first floor window.</w:t>
            </w:r>
          </w:p>
          <w:p w14:paraId="161E3155" w14:textId="77777777" w:rsidR="005D7F56" w:rsidRPr="00855615" w:rsidRDefault="005D7F56" w:rsidP="005D7F56">
            <w:pPr>
              <w:pStyle w:val="Header"/>
              <w:contextualSpacing/>
              <w:jc w:val="both"/>
              <w:rPr>
                <w:rFonts w:ascii="Calibri" w:hAnsi="Calibri"/>
                <w:bCs/>
                <w:i/>
                <w:iCs/>
                <w:szCs w:val="22"/>
              </w:rPr>
            </w:pPr>
          </w:p>
          <w:p w14:paraId="1F57533C" w14:textId="77777777" w:rsidR="005D7F56" w:rsidRDefault="005D7F56" w:rsidP="005D7F56">
            <w:pPr>
              <w:pStyle w:val="Header"/>
              <w:tabs>
                <w:tab w:val="clear" w:pos="4153"/>
                <w:tab w:val="clear" w:pos="8306"/>
              </w:tabs>
              <w:contextualSpacing/>
              <w:jc w:val="both"/>
              <w:rPr>
                <w:rFonts w:ascii="Calibri" w:hAnsi="Calibri"/>
                <w:bCs/>
                <w:i/>
                <w:iCs/>
                <w:szCs w:val="22"/>
              </w:rPr>
            </w:pPr>
            <w:r w:rsidRPr="00855615">
              <w:rPr>
                <w:rFonts w:ascii="Calibri" w:hAnsi="Calibri"/>
                <w:bCs/>
                <w:i/>
                <w:iCs/>
                <w:szCs w:val="22"/>
              </w:rPr>
              <w:lastRenderedPageBreak/>
              <w:t>Interior: the left-hand unit has the remains of a chamfered stone fireplace against its internal wall. Backing onto it, in the middle unit, is a blocked shouldered stone fireplace, with a chamfered and stopped firehood bressumer with a mortise for a heck post.</w:t>
            </w:r>
          </w:p>
          <w:p w14:paraId="7B1BF5D5" w14:textId="77777777" w:rsidR="005D7F56" w:rsidRPr="005D7F56" w:rsidRDefault="005D7F56" w:rsidP="005D7F56">
            <w:pPr>
              <w:contextualSpacing/>
              <w:rPr>
                <w:rFonts w:ascii="Calibri" w:hAnsi="Calibri"/>
                <w:bCs/>
              </w:rPr>
            </w:pPr>
          </w:p>
          <w:p w14:paraId="5FC5E084" w14:textId="4636717F" w:rsidR="00FB04B3" w:rsidRPr="00FB04B3" w:rsidRDefault="00FB04B3" w:rsidP="005D7F56">
            <w:pPr>
              <w:contextualSpacing/>
              <w:rPr>
                <w:rFonts w:ascii="Calibri" w:hAnsi="Calibri"/>
                <w:b/>
                <w:u w:val="single"/>
              </w:rPr>
            </w:pPr>
            <w:r w:rsidRPr="00FB04B3">
              <w:rPr>
                <w:rFonts w:ascii="Calibri" w:hAnsi="Calibri"/>
                <w:b/>
                <w:u w:val="single"/>
              </w:rPr>
              <w:t>Ribble Valley Core Strategy</w:t>
            </w:r>
          </w:p>
          <w:p w14:paraId="36359F98" w14:textId="77777777" w:rsidR="00FB04B3" w:rsidRDefault="00FB04B3" w:rsidP="005D7F56">
            <w:pPr>
              <w:contextualSpacing/>
              <w:rPr>
                <w:rFonts w:ascii="Calibri" w:hAnsi="Calibri"/>
                <w:bCs/>
              </w:rPr>
            </w:pPr>
          </w:p>
          <w:p w14:paraId="7AB2E8D5" w14:textId="4542FECC" w:rsidR="005D7F56" w:rsidRPr="005D7F56" w:rsidRDefault="005D7F56" w:rsidP="005D7F56">
            <w:pPr>
              <w:contextualSpacing/>
              <w:rPr>
                <w:rFonts w:ascii="Calibri" w:hAnsi="Calibri"/>
                <w:b/>
                <w:bCs/>
              </w:rPr>
            </w:pPr>
            <w:r w:rsidRPr="005D7F56">
              <w:rPr>
                <w:rFonts w:ascii="Calibri" w:hAnsi="Calibri"/>
                <w:bCs/>
              </w:rPr>
              <w:t>Key Statement EN5 states that:</w:t>
            </w:r>
          </w:p>
          <w:p w14:paraId="3C9B2858" w14:textId="77777777" w:rsidR="005D7F56" w:rsidRPr="005D7F56" w:rsidRDefault="005D7F56" w:rsidP="005D7F56">
            <w:pPr>
              <w:contextualSpacing/>
              <w:rPr>
                <w:rFonts w:ascii="Calibri" w:hAnsi="Calibri"/>
                <w:b/>
                <w:bCs/>
              </w:rPr>
            </w:pPr>
          </w:p>
          <w:p w14:paraId="27678047" w14:textId="77777777" w:rsidR="005D7F56" w:rsidRPr="005D7F56" w:rsidRDefault="005D7F56" w:rsidP="005D7F56">
            <w:pPr>
              <w:contextualSpacing/>
              <w:rPr>
                <w:rFonts w:ascii="Calibri" w:hAnsi="Calibri"/>
                <w:bCs/>
                <w:i/>
                <w:iCs/>
              </w:rPr>
            </w:pPr>
            <w:r w:rsidRPr="005D7F56">
              <w:rPr>
                <w:rFonts w:ascii="Calibri" w:hAnsi="Calibri"/>
                <w:bCs/>
                <w:i/>
                <w:iCs/>
              </w:rPr>
              <w:t>There will be a presumption in favour of the conservation and enhancement of the significance of heritage assets and their settings. The Historic Environment and its Heritage Assets and their settings will be conserved and enhanced in a manner appropriate to their significance for their heritage value; their important contribution to local character, distinctiveness and sense of place; and to wider social, cultural and environmental benefits.</w:t>
            </w:r>
          </w:p>
          <w:p w14:paraId="48B0E222" w14:textId="77777777" w:rsidR="005D7F56" w:rsidRPr="005D7F56" w:rsidRDefault="005D7F56" w:rsidP="005D7F56">
            <w:pPr>
              <w:contextualSpacing/>
              <w:rPr>
                <w:rFonts w:ascii="Calibri" w:hAnsi="Calibri"/>
                <w:bCs/>
                <w:i/>
                <w:iCs/>
              </w:rPr>
            </w:pPr>
          </w:p>
          <w:p w14:paraId="44E010FC" w14:textId="77777777" w:rsidR="005D7F56" w:rsidRPr="005D7F56" w:rsidRDefault="005D7F56" w:rsidP="005D7F56">
            <w:pPr>
              <w:contextualSpacing/>
              <w:rPr>
                <w:rFonts w:ascii="Calibri" w:hAnsi="Calibri"/>
                <w:bCs/>
                <w:i/>
                <w:iCs/>
              </w:rPr>
            </w:pPr>
            <w:r w:rsidRPr="005D7F56">
              <w:rPr>
                <w:rFonts w:ascii="Calibri" w:hAnsi="Calibri"/>
                <w:bCs/>
                <w:i/>
                <w:iCs/>
              </w:rPr>
              <w:t>This will be achieved through:</w:t>
            </w:r>
          </w:p>
          <w:p w14:paraId="62F87D32" w14:textId="77777777" w:rsidR="005D7F56" w:rsidRPr="005D7F56" w:rsidRDefault="005D7F56" w:rsidP="005D7F56">
            <w:pPr>
              <w:contextualSpacing/>
              <w:rPr>
                <w:rFonts w:ascii="Calibri" w:hAnsi="Calibri"/>
                <w:b/>
                <w:bCs/>
                <w:i/>
                <w:iCs/>
              </w:rPr>
            </w:pPr>
          </w:p>
          <w:p w14:paraId="71E7C559" w14:textId="30F17AD2" w:rsidR="005D7F56" w:rsidRPr="005D7F56" w:rsidRDefault="005D7F56" w:rsidP="005D7F56">
            <w:pPr>
              <w:numPr>
                <w:ilvl w:val="0"/>
                <w:numId w:val="5"/>
              </w:numPr>
              <w:contextualSpacing/>
              <w:rPr>
                <w:rFonts w:ascii="Calibri" w:hAnsi="Calibri"/>
                <w:bCs/>
                <w:i/>
                <w:iCs/>
              </w:rPr>
            </w:pPr>
            <w:r w:rsidRPr="005D7F56">
              <w:rPr>
                <w:rFonts w:ascii="Calibri" w:hAnsi="Calibri"/>
                <w:bCs/>
                <w:i/>
                <w:iCs/>
              </w:rPr>
              <w:t>Recognising that the best way of ensuring the long-term protection of heritage assets is to ensure a viable use that optimises opportunities for sustaining and enhancing its significance.</w:t>
            </w:r>
          </w:p>
          <w:p w14:paraId="638ACD88" w14:textId="77777777" w:rsidR="005D7F56" w:rsidRPr="005D7F56" w:rsidRDefault="005D7F56" w:rsidP="005D7F56">
            <w:pPr>
              <w:numPr>
                <w:ilvl w:val="0"/>
                <w:numId w:val="5"/>
              </w:numPr>
              <w:contextualSpacing/>
              <w:rPr>
                <w:rFonts w:ascii="Calibri" w:hAnsi="Calibri"/>
                <w:bCs/>
                <w:i/>
                <w:iCs/>
              </w:rPr>
            </w:pPr>
            <w:r w:rsidRPr="005D7F56">
              <w:rPr>
                <w:rFonts w:ascii="Calibri" w:hAnsi="Calibri"/>
                <w:bCs/>
                <w:i/>
                <w:iCs/>
              </w:rPr>
              <w:t>Keeping Conservation Area Appraisals under review to ensure that any development proposals respect and safeguard the character, appearance and significance of the area.</w:t>
            </w:r>
          </w:p>
          <w:p w14:paraId="5EFBD151" w14:textId="77777777" w:rsidR="005D7F56" w:rsidRPr="005D7F56" w:rsidRDefault="005D7F56" w:rsidP="005D7F56">
            <w:pPr>
              <w:numPr>
                <w:ilvl w:val="0"/>
                <w:numId w:val="5"/>
              </w:numPr>
              <w:contextualSpacing/>
              <w:rPr>
                <w:rFonts w:ascii="Calibri" w:hAnsi="Calibri"/>
                <w:bCs/>
                <w:i/>
                <w:iCs/>
              </w:rPr>
            </w:pPr>
            <w:r w:rsidRPr="005D7F56">
              <w:rPr>
                <w:rFonts w:ascii="Calibri" w:hAnsi="Calibri"/>
                <w:bCs/>
                <w:i/>
                <w:iCs/>
              </w:rPr>
              <w:t>Considering any development proposals which may impact on a heritage asset or their setting through seeking benefits that conserve and enhance their significance and avoids any substantial harm to the heritage asset.</w:t>
            </w:r>
          </w:p>
          <w:p w14:paraId="7D99F460" w14:textId="77777777" w:rsidR="005D7F56" w:rsidRPr="005D7F56" w:rsidRDefault="005D7F56" w:rsidP="005D7F56">
            <w:pPr>
              <w:numPr>
                <w:ilvl w:val="0"/>
                <w:numId w:val="5"/>
              </w:numPr>
              <w:contextualSpacing/>
              <w:rPr>
                <w:rFonts w:ascii="Calibri" w:hAnsi="Calibri"/>
                <w:bCs/>
                <w:i/>
                <w:iCs/>
              </w:rPr>
            </w:pPr>
            <w:r w:rsidRPr="005D7F56">
              <w:rPr>
                <w:rFonts w:ascii="Calibri" w:hAnsi="Calibri"/>
                <w:bCs/>
                <w:i/>
                <w:iCs/>
              </w:rPr>
              <w:t>Requiring all development proposals to make a positive contribution to local distinctiveness/sense of place.</w:t>
            </w:r>
          </w:p>
          <w:p w14:paraId="164112EB" w14:textId="77777777" w:rsidR="005D7F56" w:rsidRPr="005D7F56" w:rsidRDefault="005D7F56" w:rsidP="005D7F56">
            <w:pPr>
              <w:numPr>
                <w:ilvl w:val="0"/>
                <w:numId w:val="5"/>
              </w:numPr>
              <w:contextualSpacing/>
              <w:rPr>
                <w:rFonts w:ascii="Calibri" w:hAnsi="Calibri"/>
                <w:bCs/>
                <w:i/>
                <w:iCs/>
              </w:rPr>
            </w:pPr>
            <w:r w:rsidRPr="005D7F56">
              <w:rPr>
                <w:rFonts w:ascii="Calibri" w:hAnsi="Calibri"/>
                <w:bCs/>
                <w:i/>
                <w:iCs/>
              </w:rPr>
              <w:t>The consideration of Article 4 Directions to restrict permitted development rights where the exercise of such rights would harm the historic environment.</w:t>
            </w:r>
          </w:p>
          <w:p w14:paraId="40958A9C" w14:textId="77777777" w:rsidR="005D7F56" w:rsidRDefault="005D7F56" w:rsidP="0046548C">
            <w:pPr>
              <w:contextualSpacing/>
              <w:rPr>
                <w:rFonts w:ascii="Calibri" w:hAnsi="Calibri"/>
                <w:bCs/>
              </w:rPr>
            </w:pPr>
          </w:p>
          <w:p w14:paraId="12F9E29F" w14:textId="77777777" w:rsidR="005D7F56" w:rsidRDefault="005D7F56" w:rsidP="005D7F56">
            <w:pPr>
              <w:contextualSpacing/>
              <w:rPr>
                <w:rFonts w:ascii="Calibri" w:hAnsi="Calibri"/>
                <w:bCs/>
              </w:rPr>
            </w:pPr>
            <w:r w:rsidRPr="005D7F56">
              <w:rPr>
                <w:rFonts w:ascii="Calibri" w:hAnsi="Calibri"/>
                <w:bCs/>
              </w:rPr>
              <w:t>Policy DME4 stat</w:t>
            </w:r>
            <w:r>
              <w:rPr>
                <w:rFonts w:ascii="Calibri" w:hAnsi="Calibri"/>
                <w:bCs/>
              </w:rPr>
              <w:t>es:</w:t>
            </w:r>
          </w:p>
          <w:p w14:paraId="663772E3" w14:textId="77777777" w:rsidR="005D7F56" w:rsidRDefault="005D7F56" w:rsidP="005D7F56">
            <w:pPr>
              <w:contextualSpacing/>
              <w:rPr>
                <w:rFonts w:ascii="Calibri" w:hAnsi="Calibri"/>
                <w:bCs/>
              </w:rPr>
            </w:pPr>
          </w:p>
          <w:p w14:paraId="72B77483" w14:textId="046E629F" w:rsidR="005D7F56" w:rsidRPr="005D7F56" w:rsidRDefault="005D7F56" w:rsidP="005D7F56">
            <w:pPr>
              <w:contextualSpacing/>
              <w:rPr>
                <w:rFonts w:ascii="Calibri" w:hAnsi="Calibri"/>
                <w:bCs/>
              </w:rPr>
            </w:pPr>
            <w:r>
              <w:rPr>
                <w:rFonts w:ascii="Calibri" w:hAnsi="Calibri"/>
                <w:bCs/>
              </w:rPr>
              <w:t>‘I</w:t>
            </w:r>
            <w:r w:rsidRPr="005D7F56">
              <w:rPr>
                <w:rFonts w:ascii="Calibri" w:hAnsi="Calibri"/>
                <w:bCs/>
              </w:rPr>
              <w:t>n respect of development within conservation areas or those affecting the listed buildings or their setting, that development will be assessed on the following basis:</w:t>
            </w:r>
          </w:p>
          <w:p w14:paraId="6870736F" w14:textId="77777777" w:rsidR="005D7F56" w:rsidRDefault="005D7F56" w:rsidP="0046548C">
            <w:pPr>
              <w:contextualSpacing/>
              <w:rPr>
                <w:rFonts w:ascii="Calibri" w:hAnsi="Calibri"/>
                <w:bCs/>
              </w:rPr>
            </w:pPr>
          </w:p>
          <w:p w14:paraId="107D8047" w14:textId="77777777" w:rsidR="005D7F56" w:rsidRPr="005D7F56" w:rsidRDefault="005D7F56" w:rsidP="005D7F56">
            <w:pPr>
              <w:contextualSpacing/>
              <w:rPr>
                <w:rFonts w:ascii="Calibri" w:hAnsi="Calibri"/>
                <w:b/>
                <w:bCs/>
                <w:i/>
                <w:iCs/>
              </w:rPr>
            </w:pPr>
            <w:r w:rsidRPr="005D7F56">
              <w:rPr>
                <w:rFonts w:ascii="Calibri" w:hAnsi="Calibri"/>
                <w:b/>
                <w:bCs/>
                <w:i/>
                <w:iCs/>
              </w:rPr>
              <w:t>2: LISTED BUILDINGS AND OTHER BUILDINGS OF SIGNIFICANT HERITAGE INTEREST</w:t>
            </w:r>
          </w:p>
          <w:p w14:paraId="39AEF0E5" w14:textId="77777777" w:rsidR="005D7F56" w:rsidRPr="005D7F56" w:rsidRDefault="005D7F56" w:rsidP="005D7F56">
            <w:pPr>
              <w:contextualSpacing/>
              <w:rPr>
                <w:rFonts w:ascii="Calibri" w:hAnsi="Calibri"/>
                <w:bCs/>
                <w:i/>
                <w:iCs/>
              </w:rPr>
            </w:pPr>
          </w:p>
          <w:p w14:paraId="075C5783" w14:textId="3FF550CF" w:rsidR="005D7F56" w:rsidRPr="005D7F56" w:rsidRDefault="005D7F56" w:rsidP="005D7F56">
            <w:pPr>
              <w:contextualSpacing/>
              <w:rPr>
                <w:rFonts w:ascii="Calibri" w:hAnsi="Calibri"/>
                <w:bCs/>
                <w:i/>
                <w:iCs/>
              </w:rPr>
            </w:pPr>
            <w:r w:rsidRPr="005D7F56">
              <w:rPr>
                <w:rFonts w:ascii="Calibri" w:hAnsi="Calibri"/>
                <w:bCs/>
                <w:i/>
                <w:iCs/>
              </w:rPr>
              <w:t>Alterations or extensions to listed buildings or buildings of local heritage interest, or development proposals on sites within their setting which cause harm to the significance of the heritage asset will not be supported.  Any proposals involving the demolition or loss of important historic fabric from listed buildings will be refused unless it can be demonstrated that exceptional circumstances exist</w:t>
            </w:r>
            <w:r>
              <w:rPr>
                <w:rFonts w:ascii="Calibri" w:hAnsi="Calibri"/>
                <w:bCs/>
                <w:i/>
                <w:iCs/>
              </w:rPr>
              <w:t xml:space="preserve">’. </w:t>
            </w:r>
          </w:p>
          <w:p w14:paraId="2BAC8287" w14:textId="77777777" w:rsidR="005D7F56" w:rsidRDefault="005D7F56" w:rsidP="0046548C">
            <w:pPr>
              <w:contextualSpacing/>
              <w:rPr>
                <w:rFonts w:ascii="Calibri" w:hAnsi="Calibri"/>
                <w:bCs/>
              </w:rPr>
            </w:pPr>
          </w:p>
          <w:p w14:paraId="035208E2" w14:textId="23051527" w:rsidR="005D7F56" w:rsidRDefault="005D7F56" w:rsidP="0046548C">
            <w:pPr>
              <w:contextualSpacing/>
              <w:rPr>
                <w:rFonts w:ascii="Calibri" w:hAnsi="Calibri"/>
                <w:bCs/>
              </w:rPr>
            </w:pPr>
            <w:r>
              <w:rPr>
                <w:rFonts w:ascii="Calibri" w:hAnsi="Calibri"/>
                <w:bCs/>
              </w:rPr>
              <w:t>In addition, Policy DMG1 states that:</w:t>
            </w:r>
          </w:p>
          <w:p w14:paraId="759E1AD3" w14:textId="77777777" w:rsidR="005D7F56" w:rsidRPr="005D7F56" w:rsidRDefault="005D7F56" w:rsidP="005D7F56">
            <w:pPr>
              <w:contextualSpacing/>
              <w:rPr>
                <w:rFonts w:ascii="Calibri" w:hAnsi="Calibri"/>
                <w:b/>
                <w:bCs/>
              </w:rPr>
            </w:pPr>
          </w:p>
          <w:p w14:paraId="4D781533" w14:textId="77777777" w:rsidR="005D7F56" w:rsidRPr="005D7F56" w:rsidRDefault="005D7F56" w:rsidP="005D7F56">
            <w:pPr>
              <w:contextualSpacing/>
              <w:rPr>
                <w:rFonts w:ascii="Calibri" w:hAnsi="Calibri"/>
                <w:bCs/>
                <w:i/>
                <w:iCs/>
              </w:rPr>
            </w:pPr>
            <w:r w:rsidRPr="005D7F56">
              <w:rPr>
                <w:rFonts w:ascii="Calibri" w:hAnsi="Calibri"/>
                <w:bCs/>
                <w:i/>
                <w:iCs/>
              </w:rPr>
              <w:t>In determining planning applications, all development must:</w:t>
            </w:r>
          </w:p>
          <w:p w14:paraId="12D22BCF" w14:textId="77777777" w:rsidR="005D7F56" w:rsidRPr="005D7F56" w:rsidRDefault="005D7F56" w:rsidP="005D7F56">
            <w:pPr>
              <w:contextualSpacing/>
              <w:rPr>
                <w:rFonts w:ascii="Calibri" w:hAnsi="Calibri"/>
                <w:bCs/>
                <w:i/>
                <w:iCs/>
              </w:rPr>
            </w:pPr>
          </w:p>
          <w:p w14:paraId="23E7555B" w14:textId="77777777" w:rsidR="005D7F56" w:rsidRPr="005D7F56" w:rsidRDefault="005D7F56" w:rsidP="005D7F56">
            <w:pPr>
              <w:contextualSpacing/>
              <w:rPr>
                <w:rFonts w:ascii="Calibri" w:hAnsi="Calibri"/>
                <w:b/>
                <w:bCs/>
                <w:i/>
                <w:iCs/>
              </w:rPr>
            </w:pPr>
            <w:r w:rsidRPr="005D7F56">
              <w:rPr>
                <w:rFonts w:ascii="Calibri" w:hAnsi="Calibri"/>
                <w:b/>
                <w:bCs/>
                <w:i/>
                <w:iCs/>
              </w:rPr>
              <w:t>DESIGN</w:t>
            </w:r>
          </w:p>
          <w:p w14:paraId="7CC23D86" w14:textId="77777777" w:rsidR="005D7F56" w:rsidRPr="005D7F56" w:rsidRDefault="005D7F56" w:rsidP="005D7F56">
            <w:pPr>
              <w:contextualSpacing/>
              <w:rPr>
                <w:rFonts w:ascii="Calibri" w:hAnsi="Calibri"/>
                <w:bCs/>
                <w:i/>
                <w:iCs/>
              </w:rPr>
            </w:pPr>
          </w:p>
          <w:p w14:paraId="42BF4A18" w14:textId="77777777" w:rsidR="005D7F56" w:rsidRPr="005D7F56" w:rsidRDefault="005D7F56" w:rsidP="005D7F56">
            <w:pPr>
              <w:numPr>
                <w:ilvl w:val="0"/>
                <w:numId w:val="6"/>
              </w:numPr>
              <w:contextualSpacing/>
              <w:rPr>
                <w:rFonts w:ascii="Calibri" w:hAnsi="Calibri"/>
                <w:bCs/>
                <w:i/>
                <w:iCs/>
              </w:rPr>
            </w:pPr>
            <w:r w:rsidRPr="005D7F56">
              <w:rPr>
                <w:rFonts w:ascii="Calibri" w:hAnsi="Calibri"/>
                <w:bCs/>
                <w:i/>
                <w:iCs/>
              </w:rPr>
              <w:t>Be of a high standard of building design which considers the 8 building in context principles (from the CABE/English Heritage building on context toolkit.</w:t>
            </w:r>
          </w:p>
          <w:p w14:paraId="3F8A63D8" w14:textId="77777777" w:rsidR="005D7F56" w:rsidRPr="005D7F56" w:rsidRDefault="005D7F56" w:rsidP="005D7F56">
            <w:pPr>
              <w:numPr>
                <w:ilvl w:val="0"/>
                <w:numId w:val="6"/>
              </w:numPr>
              <w:contextualSpacing/>
              <w:rPr>
                <w:rFonts w:ascii="Calibri" w:hAnsi="Calibri"/>
                <w:bCs/>
                <w:i/>
                <w:iCs/>
              </w:rPr>
            </w:pPr>
            <w:r w:rsidRPr="005D7F56">
              <w:rPr>
                <w:rFonts w:ascii="Calibri" w:hAnsi="Calibri"/>
                <w:bCs/>
                <w:i/>
                <w:iCs/>
              </w:rPr>
              <w:t>Be sympathetic to existing and proposed land uses in terms of its size, intensity and nature as well as scale, massing, style, features and building materials.</w:t>
            </w:r>
          </w:p>
          <w:p w14:paraId="3B25293D" w14:textId="77777777" w:rsidR="005D7F56" w:rsidRPr="005D7F56" w:rsidRDefault="005D7F56" w:rsidP="005D7F56">
            <w:pPr>
              <w:numPr>
                <w:ilvl w:val="0"/>
                <w:numId w:val="6"/>
              </w:numPr>
              <w:contextualSpacing/>
              <w:rPr>
                <w:rFonts w:ascii="Calibri" w:hAnsi="Calibri"/>
                <w:bCs/>
                <w:i/>
                <w:iCs/>
              </w:rPr>
            </w:pPr>
            <w:r w:rsidRPr="005D7F56">
              <w:rPr>
                <w:rFonts w:ascii="Calibri" w:hAnsi="Calibri"/>
                <w:bCs/>
                <w:i/>
                <w:iCs/>
              </w:rPr>
              <w:t>Consider the density, layout and relationship between buildings, which is of major importance. particular emphasis will be placed on visual appearance and the relationship to surroundings, including impact on landscape character, as well as the effects of development on existing amenities.</w:t>
            </w:r>
          </w:p>
          <w:p w14:paraId="74BBE274" w14:textId="77777777" w:rsidR="005D7F56" w:rsidRDefault="005D7F56" w:rsidP="0046548C">
            <w:pPr>
              <w:contextualSpacing/>
              <w:rPr>
                <w:rFonts w:ascii="Calibri" w:hAnsi="Calibri"/>
                <w:bCs/>
              </w:rPr>
            </w:pPr>
          </w:p>
          <w:p w14:paraId="0565D127" w14:textId="77777777" w:rsidR="005D7F56" w:rsidRDefault="005D7F56" w:rsidP="0046548C">
            <w:pPr>
              <w:contextualSpacing/>
              <w:rPr>
                <w:rFonts w:ascii="Calibri" w:hAnsi="Calibri"/>
                <w:bCs/>
              </w:rPr>
            </w:pPr>
          </w:p>
          <w:p w14:paraId="119EAC3F" w14:textId="41DCF71B" w:rsidR="005D7F56" w:rsidRDefault="005D7F56" w:rsidP="0046548C">
            <w:pPr>
              <w:contextualSpacing/>
              <w:rPr>
                <w:rFonts w:ascii="Calibri" w:hAnsi="Calibri"/>
                <w:bCs/>
              </w:rPr>
            </w:pPr>
            <w:r>
              <w:rPr>
                <w:rFonts w:ascii="Calibri" w:hAnsi="Calibri"/>
                <w:bCs/>
              </w:rPr>
              <w:t xml:space="preserve">Policy DMG1 also states that </w:t>
            </w:r>
            <w:r w:rsidRPr="005D7F56">
              <w:rPr>
                <w:rFonts w:ascii="Calibri" w:hAnsi="Calibri"/>
                <w:bCs/>
                <w:i/>
                <w:iCs/>
              </w:rPr>
              <w:t xml:space="preserve">'All development must protect and enhance heritage assets and their settings’. </w:t>
            </w:r>
          </w:p>
          <w:p w14:paraId="3942AF1C" w14:textId="77777777" w:rsidR="009D6DBB" w:rsidRPr="00BE2C02" w:rsidRDefault="009D6DBB" w:rsidP="0046548C">
            <w:pPr>
              <w:contextualSpacing/>
              <w:rPr>
                <w:rFonts w:ascii="Calibri" w:hAnsi="Calibri"/>
                <w:bCs/>
              </w:rPr>
            </w:pPr>
          </w:p>
          <w:p w14:paraId="069E9923" w14:textId="77777777" w:rsidR="00FB04B3" w:rsidRPr="006A262A" w:rsidRDefault="00FB04B3" w:rsidP="00FB04B3">
            <w:pPr>
              <w:contextualSpacing/>
              <w:jc w:val="both"/>
              <w:rPr>
                <w:rFonts w:ascii="Calibri" w:hAnsi="Calibri"/>
                <w:b/>
                <w:u w:val="single"/>
              </w:rPr>
            </w:pPr>
            <w:r w:rsidRPr="006A262A">
              <w:rPr>
                <w:rFonts w:ascii="Calibri" w:hAnsi="Calibri"/>
                <w:b/>
                <w:u w:val="single"/>
              </w:rPr>
              <w:t>Planning (Listed Building and Conservation Areas) Act 1990:</w:t>
            </w:r>
          </w:p>
          <w:p w14:paraId="0D6583F9" w14:textId="77777777" w:rsidR="00FB04B3" w:rsidRPr="006A262A" w:rsidRDefault="00FB04B3" w:rsidP="00FB04B3">
            <w:pPr>
              <w:contextualSpacing/>
              <w:jc w:val="both"/>
              <w:rPr>
                <w:rFonts w:ascii="Calibri" w:hAnsi="Calibri"/>
                <w:b/>
              </w:rPr>
            </w:pPr>
          </w:p>
          <w:p w14:paraId="0A849A0A" w14:textId="2908908E" w:rsidR="00FB04B3" w:rsidRPr="006A262A" w:rsidRDefault="00FB04B3" w:rsidP="00FB04B3">
            <w:pPr>
              <w:contextualSpacing/>
              <w:jc w:val="both"/>
              <w:rPr>
                <w:rFonts w:ascii="Calibri" w:hAnsi="Calibri"/>
                <w:bCs/>
              </w:rPr>
            </w:pPr>
            <w:r w:rsidRPr="006A262A">
              <w:rPr>
                <w:rFonts w:ascii="Calibri" w:hAnsi="Calibri"/>
                <w:bCs/>
              </w:rPr>
              <w:t xml:space="preserve">Given the </w:t>
            </w:r>
            <w:r w:rsidR="000C3E3F">
              <w:rPr>
                <w:rFonts w:ascii="Calibri" w:hAnsi="Calibri"/>
                <w:bCs/>
              </w:rPr>
              <w:t xml:space="preserve">development </w:t>
            </w:r>
            <w:r w:rsidRPr="006A262A">
              <w:rPr>
                <w:rFonts w:ascii="Calibri" w:hAnsi="Calibri"/>
                <w:bCs/>
              </w:rPr>
              <w:t xml:space="preserve">relates to a Grade II Designated Heritage Asset, special regard must also be given to the statutory duties imposed on the authority, pursuant to national legislation, particularly in respect of the preservation and enhancement of such assets.  </w:t>
            </w:r>
          </w:p>
          <w:p w14:paraId="1C16160D" w14:textId="77777777" w:rsidR="00FB04B3" w:rsidRPr="006A262A" w:rsidRDefault="00FB04B3" w:rsidP="00FB04B3">
            <w:pPr>
              <w:contextualSpacing/>
              <w:jc w:val="both"/>
              <w:rPr>
                <w:rFonts w:ascii="Calibri" w:hAnsi="Calibri"/>
                <w:bCs/>
              </w:rPr>
            </w:pPr>
          </w:p>
          <w:p w14:paraId="1658AED7" w14:textId="77777777" w:rsidR="00FB04B3" w:rsidRDefault="00FB04B3" w:rsidP="00FB04B3">
            <w:pPr>
              <w:rPr>
                <w:rFonts w:ascii="Calibri" w:hAnsi="Calibri"/>
                <w:bCs/>
              </w:rPr>
            </w:pPr>
            <w:r w:rsidRPr="006A262A">
              <w:rPr>
                <w:rFonts w:ascii="Calibri" w:hAnsi="Calibri"/>
                <w:bCs/>
              </w:rPr>
              <w:t>The principle statutory duty under the Planning (Listed Building and Conservation Areas) Act 1990 (as amended by s.58B (1) of Levelling-up and Regeneration Act 2023) is to preserve or enhance the special</w:t>
            </w:r>
            <w:r>
              <w:rPr>
                <w:rFonts w:ascii="Calibri" w:hAnsi="Calibri"/>
                <w:bCs/>
              </w:rPr>
              <w:t xml:space="preserve"> </w:t>
            </w:r>
          </w:p>
          <w:p w14:paraId="633837D5" w14:textId="77777777" w:rsidR="00FB04B3" w:rsidRPr="006A262A" w:rsidRDefault="00FB04B3" w:rsidP="00FB04B3">
            <w:pPr>
              <w:contextualSpacing/>
              <w:jc w:val="both"/>
              <w:rPr>
                <w:rFonts w:ascii="Calibri" w:hAnsi="Calibri"/>
                <w:bCs/>
              </w:rPr>
            </w:pPr>
            <w:r w:rsidRPr="006A262A">
              <w:rPr>
                <w:rFonts w:ascii="Calibri" w:hAnsi="Calibri"/>
                <w:bCs/>
              </w:rPr>
              <w:t>character of heritage assets, including their setting.  As such, in determining applications that affect designated heritage assets, the authority must consider the duties contained within the principle Act which states the following;</w:t>
            </w:r>
          </w:p>
          <w:p w14:paraId="7EC2DC63" w14:textId="77777777" w:rsidR="00FB04B3" w:rsidRPr="006A262A" w:rsidRDefault="00FB04B3" w:rsidP="00FB04B3">
            <w:pPr>
              <w:contextualSpacing/>
              <w:jc w:val="both"/>
              <w:rPr>
                <w:rFonts w:ascii="Calibri" w:hAnsi="Calibri"/>
                <w:b/>
              </w:rPr>
            </w:pPr>
          </w:p>
          <w:p w14:paraId="148DC564" w14:textId="77777777" w:rsidR="00FB04B3" w:rsidRPr="006A262A" w:rsidRDefault="00FB04B3" w:rsidP="00FB04B3">
            <w:pPr>
              <w:contextualSpacing/>
              <w:jc w:val="both"/>
              <w:rPr>
                <w:rFonts w:ascii="Calibri" w:hAnsi="Calibri"/>
                <w:b/>
              </w:rPr>
            </w:pPr>
            <w:r w:rsidRPr="006A262A">
              <w:rPr>
                <w:rFonts w:ascii="Calibri" w:hAnsi="Calibri"/>
                <w:b/>
              </w:rPr>
              <w:t>Listed buildings - Section 16 (2) (as amended by s.58B of Levelling-up and Regeneration Act 2023):</w:t>
            </w:r>
          </w:p>
          <w:p w14:paraId="1DDA57E2" w14:textId="77777777" w:rsidR="00FB04B3" w:rsidRPr="006A262A" w:rsidRDefault="00FB04B3" w:rsidP="00FB04B3">
            <w:pPr>
              <w:contextualSpacing/>
              <w:jc w:val="both"/>
              <w:rPr>
                <w:rFonts w:ascii="Calibri" w:hAnsi="Calibri"/>
                <w:bCs/>
              </w:rPr>
            </w:pPr>
            <w:r w:rsidRPr="006A262A">
              <w:rPr>
                <w:rFonts w:ascii="Calibri" w:hAnsi="Calibri"/>
                <w:bCs/>
              </w:rPr>
              <w:t>In considering whether to grant listed building consent for any works to a listed building the local planning authority shall have special regard to the desirability of preserving or enhancing the building.  Under s.58B (2) this includes preserving or enhancing any feature, quality or characteristic of the asset or setting that contributes to the significance of the asset.</w:t>
            </w:r>
          </w:p>
          <w:p w14:paraId="19C00FE2" w14:textId="77777777" w:rsidR="009D6DBB" w:rsidRDefault="009D6DBB" w:rsidP="009D6DBB">
            <w:pPr>
              <w:contextualSpacing/>
              <w:rPr>
                <w:rFonts w:ascii="Calibri" w:hAnsi="Calibri"/>
                <w:bCs/>
              </w:rPr>
            </w:pPr>
          </w:p>
          <w:p w14:paraId="31ACE0BE" w14:textId="2074A594" w:rsidR="00FB04B3" w:rsidRPr="006A262A" w:rsidRDefault="00FB04B3" w:rsidP="00FB04B3">
            <w:pPr>
              <w:contextualSpacing/>
              <w:jc w:val="both"/>
              <w:rPr>
                <w:rFonts w:ascii="Calibri" w:hAnsi="Calibri"/>
                <w:b/>
                <w:u w:val="single"/>
              </w:rPr>
            </w:pPr>
            <w:r w:rsidRPr="006A262A">
              <w:rPr>
                <w:rFonts w:ascii="Calibri" w:hAnsi="Calibri"/>
                <w:b/>
                <w:u w:val="single"/>
              </w:rPr>
              <w:t>National Planning Policy Framework (December 202</w:t>
            </w:r>
            <w:r>
              <w:rPr>
                <w:rFonts w:ascii="Calibri" w:hAnsi="Calibri"/>
                <w:b/>
                <w:u w:val="single"/>
              </w:rPr>
              <w:t>4</w:t>
            </w:r>
            <w:r w:rsidRPr="006A262A">
              <w:rPr>
                <w:rFonts w:ascii="Calibri" w:hAnsi="Calibri"/>
                <w:b/>
                <w:u w:val="single"/>
              </w:rPr>
              <w:t>):</w:t>
            </w:r>
          </w:p>
          <w:p w14:paraId="50369710" w14:textId="77777777" w:rsidR="00FB04B3" w:rsidRPr="006A262A" w:rsidRDefault="00FB04B3" w:rsidP="00FB04B3">
            <w:pPr>
              <w:contextualSpacing/>
              <w:jc w:val="both"/>
              <w:rPr>
                <w:rFonts w:ascii="Calibri" w:hAnsi="Calibri"/>
                <w:bCs/>
              </w:rPr>
            </w:pPr>
          </w:p>
          <w:p w14:paraId="594E29F0" w14:textId="2B4F5C64" w:rsidR="00FB04B3" w:rsidRPr="00FB04B3" w:rsidRDefault="00FB04B3" w:rsidP="00FB04B3">
            <w:pPr>
              <w:contextualSpacing/>
              <w:jc w:val="both"/>
              <w:rPr>
                <w:rFonts w:ascii="Calibri" w:hAnsi="Calibri"/>
                <w:bCs/>
                <w:i/>
                <w:iCs/>
              </w:rPr>
            </w:pPr>
            <w:r w:rsidRPr="006A262A">
              <w:rPr>
                <w:rFonts w:ascii="Calibri" w:hAnsi="Calibri"/>
                <w:bCs/>
              </w:rPr>
              <w:t xml:space="preserve">The National planning Policy Framework (NPPF) sets out further duties in respect of determining proposals that affect heritage assets stating that </w:t>
            </w:r>
            <w:r w:rsidRPr="00FB04B3">
              <w:rPr>
                <w:rFonts w:ascii="Calibri" w:hAnsi="Calibri"/>
                <w:bCs/>
                <w:i/>
                <w:iCs/>
              </w:rPr>
              <w:t xml:space="preserve">‘In determining applications, local planning authorities should require an applicant to describe the significance of any heritage assets affected, including any contribution made by their setting. The level of detail should be proportionate to the assets’ importance and no more than is sufficient to understand the potential impact of the proposal on their significance. As a minimum the relevant historic environment record should have been consulted and the heritage assets assessed using appropriate expertise where necessary. Where a site on which development is proposed includes, or has the potential to include, heritage assets with archaeological interest, local planning authorities should require developers to submit an appropriate desk-based assessment and, where necessary, a field evaluation’. </w:t>
            </w:r>
          </w:p>
          <w:p w14:paraId="26ABAFF6" w14:textId="77777777" w:rsidR="00FB04B3" w:rsidRPr="006A262A" w:rsidRDefault="00FB04B3" w:rsidP="00FB04B3">
            <w:pPr>
              <w:contextualSpacing/>
              <w:rPr>
                <w:rFonts w:ascii="Calibri" w:hAnsi="Calibri"/>
                <w:b/>
              </w:rPr>
            </w:pPr>
          </w:p>
          <w:p w14:paraId="238A26B1" w14:textId="2A9842A8" w:rsidR="00FB04B3" w:rsidRPr="006A262A" w:rsidRDefault="00FB04B3" w:rsidP="00FB04B3">
            <w:pPr>
              <w:contextualSpacing/>
              <w:rPr>
                <w:rFonts w:ascii="Calibri" w:hAnsi="Calibri"/>
                <w:bCs/>
              </w:rPr>
            </w:pPr>
            <w:r w:rsidRPr="006A262A">
              <w:rPr>
                <w:rFonts w:ascii="Calibri" w:hAnsi="Calibri"/>
                <w:bCs/>
              </w:rPr>
              <w:t>The Framework sets out further duties in respect of considering potential impacts upon designated heritage assets with Paragraphs 2</w:t>
            </w:r>
            <w:r>
              <w:rPr>
                <w:rFonts w:ascii="Calibri" w:hAnsi="Calibri"/>
                <w:bCs/>
              </w:rPr>
              <w:t>12</w:t>
            </w:r>
            <w:r w:rsidRPr="006A262A">
              <w:rPr>
                <w:rFonts w:ascii="Calibri" w:hAnsi="Calibri"/>
                <w:bCs/>
              </w:rPr>
              <w:t xml:space="preserve"> </w:t>
            </w:r>
            <w:r w:rsidRPr="009C543B">
              <w:rPr>
                <w:rFonts w:ascii="Calibri" w:hAnsi="Calibri"/>
                <w:bCs/>
              </w:rPr>
              <w:t>– 2</w:t>
            </w:r>
            <w:r w:rsidR="009C543B" w:rsidRPr="009C543B">
              <w:rPr>
                <w:rFonts w:ascii="Calibri" w:hAnsi="Calibri"/>
                <w:bCs/>
              </w:rPr>
              <w:t>21</w:t>
            </w:r>
            <w:r w:rsidRPr="006A262A">
              <w:rPr>
                <w:rFonts w:ascii="Calibri" w:hAnsi="Calibri"/>
                <w:bCs/>
              </w:rPr>
              <w:t xml:space="preserve"> reading as follows:</w:t>
            </w:r>
          </w:p>
          <w:p w14:paraId="05FB223B" w14:textId="77777777" w:rsidR="00FB04B3" w:rsidRPr="006A262A" w:rsidRDefault="00FB04B3" w:rsidP="00FB04B3">
            <w:pPr>
              <w:contextualSpacing/>
              <w:rPr>
                <w:rFonts w:ascii="Calibri" w:hAnsi="Calibri"/>
                <w:b/>
              </w:rPr>
            </w:pPr>
          </w:p>
          <w:p w14:paraId="1C3C9687" w14:textId="1025EBFA" w:rsidR="00FB04B3" w:rsidRDefault="00FB04B3" w:rsidP="00FB04B3">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2</w:t>
            </w:r>
            <w:r>
              <w:rPr>
                <w:rFonts w:asciiTheme="minorHAnsi" w:hAnsiTheme="minorHAnsi" w:cstheme="minorHAnsi"/>
                <w:i/>
                <w:iCs/>
                <w:color w:val="auto"/>
                <w:sz w:val="22"/>
                <w:szCs w:val="22"/>
              </w:rPr>
              <w:t>12</w:t>
            </w:r>
            <w:r w:rsidRPr="006A262A">
              <w:rPr>
                <w:rFonts w:asciiTheme="minorHAnsi" w:hAnsiTheme="minorHAnsi" w:cstheme="minorHAnsi"/>
                <w:i/>
                <w:iCs/>
                <w:color w:val="auto"/>
                <w:sz w:val="22"/>
                <w:szCs w:val="22"/>
              </w:rPr>
              <w:t>:</w:t>
            </w:r>
            <w:r>
              <w:rPr>
                <w:rFonts w:asciiTheme="minorHAnsi" w:hAnsiTheme="minorHAnsi" w:cstheme="minorHAnsi"/>
                <w:i/>
                <w:iCs/>
                <w:color w:val="auto"/>
                <w:sz w:val="22"/>
                <w:szCs w:val="22"/>
              </w:rPr>
              <w:t xml:space="preserve"> </w:t>
            </w:r>
            <w:r w:rsidRPr="00FB04B3">
              <w:rPr>
                <w:rFonts w:asciiTheme="minorHAnsi" w:hAnsiTheme="minorHAnsi" w:cstheme="minorHAnsi"/>
                <w:i/>
                <w:iCs/>
                <w:color w:val="auto"/>
                <w:sz w:val="22"/>
                <w:szCs w:val="22"/>
              </w:rPr>
              <w:t>When considering the impact of a proposed development on the significance of a designated heritage asset, great weight should be given to the asset’s conservation (and the more important the asset, the greater the weight should be). This is irrespective of whether any potential harm amounts to substantial harm, total loss or less than substantial harm to its significance.</w:t>
            </w:r>
          </w:p>
          <w:p w14:paraId="65B51EF4" w14:textId="77777777" w:rsidR="00FB04B3" w:rsidRPr="006A262A" w:rsidRDefault="00FB04B3" w:rsidP="00FB04B3">
            <w:pPr>
              <w:pStyle w:val="Default"/>
              <w:jc w:val="both"/>
              <w:rPr>
                <w:rFonts w:asciiTheme="minorHAnsi" w:hAnsiTheme="minorHAnsi" w:cstheme="minorHAnsi"/>
                <w:i/>
                <w:iCs/>
                <w:color w:val="auto"/>
                <w:sz w:val="22"/>
                <w:szCs w:val="22"/>
              </w:rPr>
            </w:pPr>
          </w:p>
          <w:p w14:paraId="5B677210" w14:textId="39A4A019" w:rsidR="00FB04B3" w:rsidRPr="006A262A" w:rsidRDefault="00FB04B3" w:rsidP="00FB04B3">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2</w:t>
            </w:r>
            <w:r>
              <w:rPr>
                <w:rFonts w:asciiTheme="minorHAnsi" w:hAnsiTheme="minorHAnsi" w:cstheme="minorHAnsi"/>
                <w:i/>
                <w:iCs/>
                <w:color w:val="auto"/>
                <w:sz w:val="22"/>
                <w:szCs w:val="22"/>
              </w:rPr>
              <w:t>13</w:t>
            </w:r>
            <w:r w:rsidRPr="006A262A">
              <w:rPr>
                <w:rFonts w:asciiTheme="minorHAnsi" w:hAnsiTheme="minorHAnsi" w:cstheme="minorHAnsi"/>
                <w:i/>
                <w:iCs/>
                <w:color w:val="auto"/>
                <w:sz w:val="22"/>
                <w:szCs w:val="22"/>
              </w:rPr>
              <w:t>:</w:t>
            </w:r>
            <w:r>
              <w:rPr>
                <w:rFonts w:asciiTheme="minorHAnsi" w:hAnsiTheme="minorHAnsi" w:cstheme="minorHAnsi"/>
                <w:i/>
                <w:iCs/>
                <w:color w:val="auto"/>
                <w:sz w:val="22"/>
                <w:szCs w:val="22"/>
              </w:rPr>
              <w:t xml:space="preserve"> </w:t>
            </w:r>
            <w:r w:rsidRPr="006A262A">
              <w:rPr>
                <w:rFonts w:asciiTheme="minorHAnsi" w:hAnsiTheme="minorHAnsi" w:cstheme="minorHAnsi"/>
                <w:i/>
                <w:iCs/>
                <w:color w:val="auto"/>
                <w:sz w:val="22"/>
                <w:szCs w:val="22"/>
              </w:rPr>
              <w:t xml:space="preserve">Any harm to, or loss of, the significance of a designated heritage asset (from its alteration or destruction, or from development within its setting), should require clear and convincing justification. Substantial harm to or loss of: </w:t>
            </w:r>
          </w:p>
          <w:p w14:paraId="2A8FB26B" w14:textId="77777777" w:rsidR="00FB04B3" w:rsidRPr="006A262A" w:rsidRDefault="00FB04B3" w:rsidP="00FB04B3">
            <w:pPr>
              <w:pStyle w:val="Default"/>
              <w:jc w:val="both"/>
              <w:rPr>
                <w:rFonts w:asciiTheme="minorHAnsi" w:hAnsiTheme="minorHAnsi" w:cstheme="minorHAnsi"/>
                <w:i/>
                <w:iCs/>
                <w:color w:val="auto"/>
                <w:sz w:val="22"/>
                <w:szCs w:val="22"/>
              </w:rPr>
            </w:pPr>
          </w:p>
          <w:p w14:paraId="65BC8E35" w14:textId="77777777" w:rsidR="00FB04B3" w:rsidRPr="006A262A" w:rsidRDefault="00FB04B3" w:rsidP="00FB04B3">
            <w:pPr>
              <w:pStyle w:val="Default"/>
              <w:numPr>
                <w:ilvl w:val="0"/>
                <w:numId w:val="7"/>
              </w:numPr>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 xml:space="preserve">grade II listed buildings, or grade II registered parks or gardens, should be exceptional; </w:t>
            </w:r>
          </w:p>
          <w:p w14:paraId="0DA87135" w14:textId="77777777" w:rsidR="00FB04B3" w:rsidRPr="006A262A" w:rsidRDefault="00FB04B3" w:rsidP="00FB04B3">
            <w:pPr>
              <w:pStyle w:val="Default"/>
              <w:numPr>
                <w:ilvl w:val="0"/>
                <w:numId w:val="7"/>
              </w:numPr>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 xml:space="preserve">assets of the highest significance, notably scheduled monuments, protected wreck sites, registered battlefields, grade I and II* listed buildings, grade I and II* registered parks and gardens, and World Heritage Sites, should be wholly exceptional. </w:t>
            </w:r>
          </w:p>
          <w:p w14:paraId="120BAB97" w14:textId="77777777" w:rsidR="00FB04B3" w:rsidRPr="006A262A" w:rsidRDefault="00FB04B3" w:rsidP="00FB04B3">
            <w:pPr>
              <w:pStyle w:val="Default"/>
              <w:jc w:val="both"/>
              <w:rPr>
                <w:rFonts w:asciiTheme="minorHAnsi" w:hAnsiTheme="minorHAnsi" w:cstheme="minorHAnsi"/>
                <w:i/>
                <w:iCs/>
                <w:color w:val="auto"/>
                <w:sz w:val="22"/>
                <w:szCs w:val="22"/>
              </w:rPr>
            </w:pPr>
          </w:p>
          <w:p w14:paraId="64C26F35" w14:textId="43787980" w:rsidR="00FB04B3" w:rsidRDefault="00FB04B3" w:rsidP="00FB04B3">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2</w:t>
            </w:r>
            <w:r>
              <w:rPr>
                <w:rFonts w:asciiTheme="minorHAnsi" w:hAnsiTheme="minorHAnsi" w:cstheme="minorHAnsi"/>
                <w:i/>
                <w:iCs/>
                <w:color w:val="auto"/>
                <w:sz w:val="22"/>
                <w:szCs w:val="22"/>
              </w:rPr>
              <w:t>14</w:t>
            </w:r>
            <w:r w:rsidRPr="006A262A">
              <w:rPr>
                <w:rFonts w:asciiTheme="minorHAnsi" w:hAnsiTheme="minorHAnsi" w:cstheme="minorHAnsi"/>
                <w:i/>
                <w:iCs/>
                <w:color w:val="auto"/>
                <w:sz w:val="22"/>
                <w:szCs w:val="22"/>
              </w:rPr>
              <w:t>:</w:t>
            </w:r>
            <w:r>
              <w:rPr>
                <w:rFonts w:asciiTheme="minorHAnsi" w:hAnsiTheme="minorHAnsi" w:cstheme="minorHAnsi"/>
                <w:i/>
                <w:iCs/>
                <w:color w:val="auto"/>
                <w:sz w:val="22"/>
                <w:szCs w:val="22"/>
              </w:rPr>
              <w:t xml:space="preserve"> </w:t>
            </w:r>
            <w:r w:rsidRPr="006A262A">
              <w:rPr>
                <w:rFonts w:asciiTheme="minorHAnsi" w:hAnsiTheme="minorHAnsi" w:cstheme="minorHAnsi"/>
                <w:i/>
                <w:iCs/>
                <w:color w:val="auto"/>
                <w:sz w:val="22"/>
                <w:szCs w:val="22"/>
              </w:rPr>
              <w:t xml:space="preserve">Where a proposed development will lead to substantial harm to (or total loss of significance of) a designated heritage asset, local planning authorities should refuse consent, unless it can be demonstrated that the substantial harm or total loss is necessary to achieve substantial public benefits that outweigh that harm or loss, or all of the following apply: </w:t>
            </w:r>
          </w:p>
          <w:p w14:paraId="12313CAB" w14:textId="77777777" w:rsidR="00FB04B3" w:rsidRPr="00D06CAA" w:rsidRDefault="00FB04B3" w:rsidP="00FB04B3">
            <w:pPr>
              <w:pStyle w:val="Default"/>
              <w:jc w:val="both"/>
              <w:rPr>
                <w:rFonts w:asciiTheme="minorHAnsi" w:hAnsiTheme="minorHAnsi" w:cstheme="minorHAnsi"/>
                <w:i/>
                <w:iCs/>
                <w:color w:val="auto"/>
                <w:sz w:val="22"/>
                <w:szCs w:val="22"/>
              </w:rPr>
            </w:pPr>
          </w:p>
          <w:p w14:paraId="05F11BA1" w14:textId="77777777" w:rsidR="00FB04B3" w:rsidRPr="00D06CAA" w:rsidRDefault="00FB04B3" w:rsidP="00FB04B3">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lastRenderedPageBreak/>
              <w:t>a)</w:t>
            </w:r>
            <w:r w:rsidRPr="00D06CAA">
              <w:rPr>
                <w:rFonts w:asciiTheme="minorHAnsi" w:hAnsiTheme="minorHAnsi" w:cstheme="minorHAnsi"/>
                <w:i/>
                <w:iCs/>
                <w:color w:val="auto"/>
                <w:sz w:val="22"/>
                <w:szCs w:val="22"/>
              </w:rPr>
              <w:tab/>
              <w:t xml:space="preserve">the nature of the heritage asset prevents all reasonable uses of the site; and </w:t>
            </w:r>
          </w:p>
          <w:p w14:paraId="0DBDA91D" w14:textId="77777777" w:rsidR="00FB04B3" w:rsidRPr="00D06CAA" w:rsidRDefault="00FB04B3" w:rsidP="00FB04B3">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b)</w:t>
            </w:r>
            <w:r w:rsidRPr="00D06CAA">
              <w:rPr>
                <w:rFonts w:asciiTheme="minorHAnsi" w:hAnsiTheme="minorHAnsi" w:cstheme="minorHAnsi"/>
                <w:i/>
                <w:iCs/>
                <w:color w:val="auto"/>
                <w:sz w:val="22"/>
                <w:szCs w:val="22"/>
              </w:rPr>
              <w:tab/>
              <w:t xml:space="preserve">no viable use of the heritage asset itself can be found in the medium term through appropriate marketing that will enable its conservation; and </w:t>
            </w:r>
          </w:p>
          <w:p w14:paraId="400D64CC" w14:textId="77777777" w:rsidR="00FB04B3" w:rsidRPr="00D06CAA" w:rsidRDefault="00FB04B3" w:rsidP="00FB04B3">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c)</w:t>
            </w:r>
            <w:r w:rsidRPr="00D06CAA">
              <w:rPr>
                <w:rFonts w:asciiTheme="minorHAnsi" w:hAnsiTheme="minorHAnsi" w:cstheme="minorHAnsi"/>
                <w:i/>
                <w:iCs/>
                <w:color w:val="auto"/>
                <w:sz w:val="22"/>
                <w:szCs w:val="22"/>
              </w:rPr>
              <w:tab/>
              <w:t xml:space="preserve">conservation by grant-funding or some form of not for profit, charitable or public ownership is demonstrably not possible; and </w:t>
            </w:r>
          </w:p>
          <w:p w14:paraId="5CE0C6D7" w14:textId="77777777" w:rsidR="00FB04B3" w:rsidRPr="00D06CAA" w:rsidRDefault="00FB04B3" w:rsidP="00FB04B3">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d)</w:t>
            </w:r>
            <w:r w:rsidRPr="00D06CAA">
              <w:rPr>
                <w:rFonts w:asciiTheme="minorHAnsi" w:hAnsiTheme="minorHAnsi" w:cstheme="minorHAnsi"/>
                <w:i/>
                <w:iCs/>
                <w:color w:val="auto"/>
                <w:sz w:val="22"/>
                <w:szCs w:val="22"/>
              </w:rPr>
              <w:tab/>
              <w:t xml:space="preserve">the harm or loss is outweighed by the benefit of bringing the site back into use. </w:t>
            </w:r>
          </w:p>
          <w:p w14:paraId="3639130D" w14:textId="77777777" w:rsidR="00FB04B3" w:rsidRPr="00D06CAA" w:rsidRDefault="00FB04B3" w:rsidP="00FB04B3">
            <w:pPr>
              <w:pStyle w:val="Default"/>
              <w:jc w:val="both"/>
              <w:rPr>
                <w:rFonts w:asciiTheme="minorHAnsi" w:hAnsiTheme="minorHAnsi" w:cstheme="minorHAnsi"/>
                <w:i/>
                <w:iCs/>
                <w:color w:val="auto"/>
                <w:sz w:val="22"/>
                <w:szCs w:val="22"/>
              </w:rPr>
            </w:pPr>
          </w:p>
          <w:p w14:paraId="469CB79C" w14:textId="0395066A" w:rsidR="00FB04B3" w:rsidRPr="00D06CAA" w:rsidRDefault="00FB04B3" w:rsidP="00FB04B3">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2</w:t>
            </w:r>
            <w:r>
              <w:rPr>
                <w:rFonts w:asciiTheme="minorHAnsi" w:hAnsiTheme="minorHAnsi" w:cstheme="minorHAnsi"/>
                <w:i/>
                <w:iCs/>
                <w:color w:val="auto"/>
                <w:sz w:val="22"/>
                <w:szCs w:val="22"/>
              </w:rPr>
              <w:t>15</w:t>
            </w:r>
            <w:r w:rsidRPr="00D06CAA">
              <w:rPr>
                <w:rFonts w:asciiTheme="minorHAnsi" w:hAnsiTheme="minorHAnsi" w:cstheme="minorHAnsi"/>
                <w:i/>
                <w:iCs/>
                <w:color w:val="auto"/>
                <w:sz w:val="22"/>
                <w:szCs w:val="22"/>
              </w:rPr>
              <w:t>:</w:t>
            </w:r>
            <w:r>
              <w:rPr>
                <w:rFonts w:asciiTheme="minorHAnsi" w:hAnsiTheme="minorHAnsi" w:cstheme="minorHAnsi"/>
                <w:i/>
                <w:iCs/>
                <w:color w:val="auto"/>
                <w:sz w:val="22"/>
                <w:szCs w:val="22"/>
              </w:rPr>
              <w:t xml:space="preserve"> </w:t>
            </w:r>
            <w:r w:rsidRPr="00D06CAA">
              <w:rPr>
                <w:rFonts w:asciiTheme="minorHAnsi" w:hAnsiTheme="minorHAnsi" w:cstheme="minorHAnsi"/>
                <w:i/>
                <w:iCs/>
                <w:color w:val="auto"/>
                <w:sz w:val="22"/>
                <w:szCs w:val="22"/>
              </w:rPr>
              <w:t xml:space="preserve">Where a development proposal will lead to less than substantial harm to the significance of a designated heritage asset, this harm should be weighed against the public benefits of the proposal including, where appropriate, securing its optimum viable use. </w:t>
            </w:r>
          </w:p>
          <w:p w14:paraId="053CA601" w14:textId="77777777" w:rsidR="00FB04B3" w:rsidRPr="00D06CAA" w:rsidRDefault="00FB04B3" w:rsidP="00FB04B3">
            <w:pPr>
              <w:pStyle w:val="Default"/>
              <w:jc w:val="both"/>
              <w:rPr>
                <w:rFonts w:asciiTheme="minorHAnsi" w:hAnsiTheme="minorHAnsi" w:cstheme="minorHAnsi"/>
                <w:i/>
                <w:iCs/>
                <w:color w:val="auto"/>
                <w:sz w:val="22"/>
                <w:szCs w:val="22"/>
              </w:rPr>
            </w:pPr>
          </w:p>
          <w:p w14:paraId="02B92F09" w14:textId="7019538A" w:rsidR="00FB04B3" w:rsidRPr="00D06CAA" w:rsidRDefault="00FB04B3" w:rsidP="00FB04B3">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2</w:t>
            </w:r>
            <w:r>
              <w:rPr>
                <w:rFonts w:asciiTheme="minorHAnsi" w:hAnsiTheme="minorHAnsi" w:cstheme="minorHAnsi"/>
                <w:i/>
                <w:iCs/>
                <w:color w:val="auto"/>
                <w:sz w:val="22"/>
                <w:szCs w:val="22"/>
              </w:rPr>
              <w:t>16</w:t>
            </w:r>
            <w:r w:rsidRPr="00D06CAA">
              <w:rPr>
                <w:rFonts w:asciiTheme="minorHAnsi" w:hAnsiTheme="minorHAnsi" w:cstheme="minorHAnsi"/>
                <w:i/>
                <w:iCs/>
                <w:color w:val="auto"/>
                <w:sz w:val="22"/>
                <w:szCs w:val="22"/>
              </w:rPr>
              <w:t>:</w:t>
            </w:r>
            <w:r>
              <w:rPr>
                <w:rFonts w:asciiTheme="minorHAnsi" w:hAnsiTheme="minorHAnsi" w:cstheme="minorHAnsi"/>
                <w:i/>
                <w:iCs/>
                <w:color w:val="auto"/>
                <w:sz w:val="22"/>
                <w:szCs w:val="22"/>
              </w:rPr>
              <w:t xml:space="preserve"> </w:t>
            </w:r>
            <w:r w:rsidRPr="00D06CAA">
              <w:rPr>
                <w:rFonts w:asciiTheme="minorHAnsi" w:hAnsiTheme="minorHAnsi" w:cstheme="minorHAnsi"/>
                <w:i/>
                <w:iCs/>
                <w:color w:val="auto"/>
                <w:sz w:val="22"/>
                <w:szCs w:val="22"/>
              </w:rPr>
              <w:t xml:space="preserve">The effect of an application on the significance of a non-designated heritage asset should be taken into account in determining the application. In weighing applications that directly or indirectly affect non-designated heritage assets, a balanced judgement will be required having regard </w:t>
            </w:r>
            <w:r>
              <w:rPr>
                <w:rFonts w:asciiTheme="minorHAnsi" w:hAnsiTheme="minorHAnsi" w:cstheme="minorHAnsi"/>
                <w:i/>
                <w:iCs/>
                <w:color w:val="auto"/>
                <w:sz w:val="22"/>
                <w:szCs w:val="22"/>
              </w:rPr>
              <w:t>to the scale of any harm of loss and the significance of the heritage asset.</w:t>
            </w:r>
          </w:p>
          <w:p w14:paraId="154E285D" w14:textId="77777777" w:rsidR="00FB04B3" w:rsidRPr="00D06CAA" w:rsidRDefault="00FB04B3" w:rsidP="00FB04B3">
            <w:pPr>
              <w:pStyle w:val="Default"/>
              <w:jc w:val="both"/>
              <w:rPr>
                <w:rFonts w:asciiTheme="minorHAnsi" w:hAnsiTheme="minorHAnsi" w:cstheme="minorHAnsi"/>
                <w:i/>
                <w:iCs/>
                <w:color w:val="auto"/>
                <w:sz w:val="22"/>
                <w:szCs w:val="22"/>
              </w:rPr>
            </w:pPr>
          </w:p>
          <w:p w14:paraId="726F4530" w14:textId="18B7DCFA" w:rsidR="00FB04B3" w:rsidRPr="00D06CAA" w:rsidRDefault="00FB04B3" w:rsidP="00FB04B3">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21</w:t>
            </w:r>
            <w:r>
              <w:rPr>
                <w:rFonts w:asciiTheme="minorHAnsi" w:hAnsiTheme="minorHAnsi" w:cstheme="minorHAnsi"/>
                <w:i/>
                <w:iCs/>
                <w:color w:val="auto"/>
                <w:sz w:val="22"/>
                <w:szCs w:val="22"/>
              </w:rPr>
              <w:t>7</w:t>
            </w:r>
            <w:r w:rsidRPr="00D06CAA">
              <w:rPr>
                <w:rFonts w:asciiTheme="minorHAnsi" w:hAnsiTheme="minorHAnsi" w:cstheme="minorHAnsi"/>
                <w:i/>
                <w:iCs/>
                <w:color w:val="auto"/>
                <w:sz w:val="22"/>
                <w:szCs w:val="22"/>
              </w:rPr>
              <w:t>:</w:t>
            </w:r>
            <w:r>
              <w:rPr>
                <w:rFonts w:asciiTheme="minorHAnsi" w:hAnsiTheme="minorHAnsi" w:cstheme="minorHAnsi"/>
                <w:i/>
                <w:iCs/>
                <w:color w:val="auto"/>
                <w:sz w:val="22"/>
                <w:szCs w:val="22"/>
              </w:rPr>
              <w:t xml:space="preserve"> </w:t>
            </w:r>
            <w:r w:rsidRPr="00D06CAA">
              <w:rPr>
                <w:rFonts w:asciiTheme="minorHAnsi" w:hAnsiTheme="minorHAnsi" w:cstheme="minorHAnsi"/>
                <w:i/>
                <w:iCs/>
                <w:color w:val="auto"/>
                <w:sz w:val="22"/>
                <w:szCs w:val="22"/>
              </w:rPr>
              <w:t xml:space="preserve">Local planning authorities should not permit the loss of the whole or part of a heritage asset without taking all reasonable steps to ensure the new development will proceed after the loss has occurred. </w:t>
            </w:r>
          </w:p>
          <w:p w14:paraId="31BE2545" w14:textId="77777777" w:rsidR="00FB04B3" w:rsidRPr="00D06CAA" w:rsidRDefault="00FB04B3" w:rsidP="00FB04B3">
            <w:pPr>
              <w:pStyle w:val="Default"/>
              <w:jc w:val="both"/>
              <w:rPr>
                <w:rFonts w:asciiTheme="minorHAnsi" w:hAnsiTheme="minorHAnsi" w:cstheme="minorHAnsi"/>
                <w:i/>
                <w:iCs/>
                <w:color w:val="auto"/>
                <w:sz w:val="22"/>
                <w:szCs w:val="22"/>
              </w:rPr>
            </w:pPr>
          </w:p>
          <w:p w14:paraId="66A89205" w14:textId="71FD580A" w:rsidR="00FB04B3" w:rsidRPr="00D06CAA" w:rsidRDefault="00FB04B3" w:rsidP="00FB04B3">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2</w:t>
            </w:r>
            <w:r>
              <w:rPr>
                <w:rFonts w:asciiTheme="minorHAnsi" w:hAnsiTheme="minorHAnsi" w:cstheme="minorHAnsi"/>
                <w:i/>
                <w:iCs/>
                <w:color w:val="auto"/>
                <w:sz w:val="22"/>
                <w:szCs w:val="22"/>
              </w:rPr>
              <w:t>18</w:t>
            </w:r>
            <w:r w:rsidRPr="00D06CAA">
              <w:rPr>
                <w:rFonts w:asciiTheme="minorHAnsi" w:hAnsiTheme="minorHAnsi" w:cstheme="minorHAnsi"/>
                <w:i/>
                <w:iCs/>
                <w:color w:val="auto"/>
                <w:sz w:val="22"/>
                <w:szCs w:val="22"/>
              </w:rPr>
              <w:t>:</w:t>
            </w:r>
            <w:r>
              <w:rPr>
                <w:rFonts w:asciiTheme="minorHAnsi" w:hAnsiTheme="minorHAnsi" w:cstheme="minorHAnsi"/>
                <w:i/>
                <w:iCs/>
                <w:color w:val="auto"/>
                <w:sz w:val="22"/>
                <w:szCs w:val="22"/>
              </w:rPr>
              <w:t xml:space="preserve"> </w:t>
            </w:r>
            <w:r w:rsidRPr="00D06CAA">
              <w:rPr>
                <w:rFonts w:asciiTheme="minorHAnsi" w:hAnsiTheme="minorHAnsi" w:cstheme="minorHAnsi"/>
                <w:i/>
                <w:iCs/>
                <w:color w:val="auto"/>
                <w:sz w:val="22"/>
                <w:szCs w:val="22"/>
              </w:rPr>
              <w:t xml:space="preserve">Local planning authorities should require developers to record and advance understanding of the significance of any heritage assets to be lost (wholly or in part) in a manner proportionate to their importance and the impact, and to make this evidence (and any archive generated) publicly accessible. However, the ability to record evidence of our past should not be a factor in deciding whether such loss should be permitted. </w:t>
            </w:r>
          </w:p>
          <w:p w14:paraId="6BF6AE5E" w14:textId="77777777" w:rsidR="00FB04B3" w:rsidRPr="00D06CAA" w:rsidRDefault="00FB04B3" w:rsidP="00FB04B3">
            <w:pPr>
              <w:pStyle w:val="Default"/>
              <w:jc w:val="both"/>
              <w:rPr>
                <w:rFonts w:asciiTheme="minorHAnsi" w:hAnsiTheme="minorHAnsi" w:cstheme="minorHAnsi"/>
                <w:i/>
                <w:iCs/>
                <w:color w:val="auto"/>
                <w:sz w:val="22"/>
                <w:szCs w:val="22"/>
              </w:rPr>
            </w:pPr>
          </w:p>
          <w:p w14:paraId="718C4335" w14:textId="257153CC" w:rsidR="00FB04B3" w:rsidRPr="00D06CAA" w:rsidRDefault="00FB04B3" w:rsidP="00FB04B3">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2</w:t>
            </w:r>
            <w:r>
              <w:rPr>
                <w:rFonts w:asciiTheme="minorHAnsi" w:hAnsiTheme="minorHAnsi" w:cstheme="minorHAnsi"/>
                <w:i/>
                <w:iCs/>
                <w:color w:val="auto"/>
                <w:sz w:val="22"/>
                <w:szCs w:val="22"/>
              </w:rPr>
              <w:t>19</w:t>
            </w:r>
            <w:r w:rsidRPr="00D06CAA">
              <w:rPr>
                <w:rFonts w:asciiTheme="minorHAnsi" w:hAnsiTheme="minorHAnsi" w:cstheme="minorHAnsi"/>
                <w:i/>
                <w:iCs/>
                <w:color w:val="auto"/>
                <w:sz w:val="22"/>
                <w:szCs w:val="22"/>
              </w:rPr>
              <w:t>:</w:t>
            </w:r>
            <w:r>
              <w:rPr>
                <w:rFonts w:asciiTheme="minorHAnsi" w:hAnsiTheme="minorHAnsi" w:cstheme="minorHAnsi"/>
                <w:i/>
                <w:iCs/>
                <w:color w:val="auto"/>
                <w:sz w:val="22"/>
                <w:szCs w:val="22"/>
              </w:rPr>
              <w:t xml:space="preserve"> </w:t>
            </w:r>
            <w:r w:rsidRPr="00D06CAA">
              <w:rPr>
                <w:rFonts w:asciiTheme="minorHAnsi" w:hAnsiTheme="minorHAnsi" w:cstheme="minorHAnsi"/>
                <w:i/>
                <w:iCs/>
                <w:color w:val="auto"/>
                <w:sz w:val="22"/>
                <w:szCs w:val="22"/>
              </w:rPr>
              <w:t xml:space="preserve">Local planning authorities should look for opportunities for new development within Conservation Areas and World Heritage Sites, and within the setting of heritage assets, to enhance or better reveal their significance. Proposals that preserve those elements of the setting that make a positive contribution to the asset (or which better reveal its significance) should be treated favourably. </w:t>
            </w:r>
          </w:p>
          <w:p w14:paraId="2CFB3A39" w14:textId="77777777" w:rsidR="00FB04B3" w:rsidRPr="00FB04B3" w:rsidRDefault="00FB04B3" w:rsidP="00FB04B3">
            <w:pPr>
              <w:pStyle w:val="Default"/>
              <w:jc w:val="both"/>
              <w:rPr>
                <w:rFonts w:asciiTheme="minorHAnsi" w:hAnsiTheme="minorHAnsi" w:cstheme="minorHAnsi"/>
                <w:i/>
                <w:iCs/>
                <w:color w:val="auto"/>
                <w:sz w:val="22"/>
                <w:szCs w:val="22"/>
              </w:rPr>
            </w:pPr>
          </w:p>
          <w:p w14:paraId="557D86BC" w14:textId="4BA6B736" w:rsidR="00FB04B3" w:rsidRPr="00FB04B3" w:rsidRDefault="00FB04B3" w:rsidP="009D6DBB">
            <w:pPr>
              <w:contextualSpacing/>
              <w:rPr>
                <w:rFonts w:ascii="Calibri" w:hAnsi="Calibri"/>
                <w:bCs/>
                <w:i/>
                <w:iCs/>
              </w:rPr>
            </w:pPr>
            <w:r w:rsidRPr="00FB04B3">
              <w:rPr>
                <w:rFonts w:ascii="Calibri" w:hAnsi="Calibri"/>
                <w:bCs/>
                <w:i/>
                <w:iCs/>
              </w:rPr>
              <w:t>221: Local planning authorities should assess whether the benefits of a proposal for enabling development, which would otherwise conflict with planning policies but which would secure the future conservation of a heritage asset, outweigh the disbenefits of departing from those policies.</w:t>
            </w:r>
          </w:p>
          <w:p w14:paraId="108C412C" w14:textId="77777777" w:rsidR="00FB04B3" w:rsidRPr="00BE2C02" w:rsidRDefault="00FB04B3" w:rsidP="009D6DBB">
            <w:pPr>
              <w:contextualSpacing/>
              <w:rPr>
                <w:rFonts w:ascii="Calibri" w:hAnsi="Calibri"/>
                <w:bCs/>
              </w:rPr>
            </w:pPr>
          </w:p>
          <w:p w14:paraId="6D2A172D" w14:textId="0DDE095F" w:rsidR="009D6DBB" w:rsidRPr="00C0174A" w:rsidRDefault="009D6DBB" w:rsidP="009D6DBB">
            <w:pPr>
              <w:contextualSpacing/>
              <w:rPr>
                <w:rFonts w:ascii="Calibri" w:hAnsi="Calibri"/>
                <w:bCs/>
              </w:rPr>
            </w:pPr>
            <w:r w:rsidRPr="00C0174A">
              <w:rPr>
                <w:rFonts w:ascii="Calibri" w:hAnsi="Calibri"/>
                <w:bCs/>
              </w:rPr>
              <w:t xml:space="preserve">The key heritage issue is whether </w:t>
            </w:r>
            <w:r w:rsidR="00EB44E0" w:rsidRPr="00C0174A">
              <w:rPr>
                <w:rFonts w:ascii="Calibri" w:hAnsi="Calibri"/>
                <w:bCs/>
              </w:rPr>
              <w:t xml:space="preserve">the works have resulted in harm to the significance of the listed building. </w:t>
            </w:r>
          </w:p>
          <w:p w14:paraId="17019BE5" w14:textId="77777777" w:rsidR="00BE2C02" w:rsidRPr="00C0174A" w:rsidRDefault="00BE2C02" w:rsidP="00920716">
            <w:pPr>
              <w:rPr>
                <w:rFonts w:ascii="Calibri" w:hAnsi="Calibri"/>
                <w:bCs/>
              </w:rPr>
            </w:pPr>
          </w:p>
          <w:p w14:paraId="10DC3734" w14:textId="77777777" w:rsidR="00920716" w:rsidRPr="00C0174A" w:rsidRDefault="00920716" w:rsidP="00920716">
            <w:pPr>
              <w:pStyle w:val="Default"/>
              <w:jc w:val="both"/>
              <w:rPr>
                <w:rFonts w:asciiTheme="minorHAnsi" w:hAnsiTheme="minorHAnsi" w:cstheme="minorHAnsi"/>
                <w:b/>
                <w:bCs/>
                <w:i/>
                <w:iCs/>
                <w:color w:val="auto"/>
                <w:sz w:val="22"/>
                <w:szCs w:val="22"/>
              </w:rPr>
            </w:pPr>
            <w:r w:rsidRPr="00C0174A">
              <w:rPr>
                <w:rFonts w:asciiTheme="minorHAnsi" w:hAnsiTheme="minorHAnsi" w:cstheme="minorHAnsi"/>
                <w:b/>
                <w:bCs/>
                <w:i/>
                <w:iCs/>
                <w:color w:val="auto"/>
                <w:sz w:val="22"/>
                <w:szCs w:val="22"/>
              </w:rPr>
              <w:t>Assessment of Impacts:</w:t>
            </w:r>
          </w:p>
          <w:p w14:paraId="6B3E7DDC" w14:textId="77777777" w:rsidR="00920716" w:rsidRPr="00C0174A" w:rsidRDefault="00920716" w:rsidP="00920716">
            <w:pPr>
              <w:ind w:left="720"/>
              <w:rPr>
                <w:rFonts w:cs="Arial"/>
                <w:szCs w:val="22"/>
              </w:rPr>
            </w:pPr>
          </w:p>
          <w:p w14:paraId="7E4E3281" w14:textId="77777777" w:rsidR="000C5402" w:rsidRDefault="00165BE8" w:rsidP="00A46C42">
            <w:pPr>
              <w:rPr>
                <w:rFonts w:asciiTheme="minorHAnsi" w:hAnsiTheme="minorHAnsi" w:cstheme="minorHAnsi"/>
                <w:szCs w:val="22"/>
              </w:rPr>
            </w:pPr>
            <w:r>
              <w:rPr>
                <w:rFonts w:asciiTheme="minorHAnsi" w:hAnsiTheme="minorHAnsi" w:cstheme="minorHAnsi"/>
                <w:szCs w:val="22"/>
              </w:rPr>
              <w:t xml:space="preserve">The development has resulted in the replacement of the existing roof timbers with new trusses and purlins. </w:t>
            </w:r>
          </w:p>
          <w:p w14:paraId="75908E5F" w14:textId="77777777" w:rsidR="000C5402" w:rsidRDefault="000C5402" w:rsidP="00A46C42">
            <w:pPr>
              <w:rPr>
                <w:rFonts w:asciiTheme="minorHAnsi" w:hAnsiTheme="minorHAnsi" w:cstheme="minorHAnsi"/>
                <w:szCs w:val="22"/>
              </w:rPr>
            </w:pPr>
          </w:p>
          <w:p w14:paraId="4DAE30A1" w14:textId="7143D55C" w:rsidR="000C5402" w:rsidRDefault="000C5402" w:rsidP="00A46C42">
            <w:pPr>
              <w:rPr>
                <w:rFonts w:asciiTheme="minorHAnsi" w:hAnsiTheme="minorHAnsi" w:cstheme="minorHAnsi"/>
                <w:szCs w:val="22"/>
              </w:rPr>
            </w:pPr>
            <w:r>
              <w:rPr>
                <w:rFonts w:asciiTheme="minorHAnsi" w:hAnsiTheme="minorHAnsi" w:cstheme="minorHAnsi"/>
                <w:szCs w:val="22"/>
              </w:rPr>
              <w:t>Historic England does not wish to offer advice on the application.</w:t>
            </w:r>
          </w:p>
          <w:p w14:paraId="5DF451DF" w14:textId="77777777" w:rsidR="000C5402" w:rsidRDefault="000C5402" w:rsidP="00A46C42">
            <w:pPr>
              <w:rPr>
                <w:rFonts w:asciiTheme="minorHAnsi" w:hAnsiTheme="minorHAnsi" w:cstheme="minorHAnsi"/>
                <w:szCs w:val="22"/>
              </w:rPr>
            </w:pPr>
          </w:p>
          <w:p w14:paraId="3D4FCE97" w14:textId="6B134482" w:rsidR="00C0174A" w:rsidRPr="00663DE4" w:rsidRDefault="00920716" w:rsidP="00A46C42">
            <w:pPr>
              <w:rPr>
                <w:rFonts w:asciiTheme="minorHAnsi" w:hAnsiTheme="minorHAnsi" w:cstheme="minorHAnsi"/>
                <w:szCs w:val="22"/>
              </w:rPr>
            </w:pPr>
            <w:r w:rsidRPr="00663DE4">
              <w:rPr>
                <w:rFonts w:asciiTheme="minorHAnsi" w:hAnsiTheme="minorHAnsi" w:cstheme="minorHAnsi"/>
                <w:szCs w:val="22"/>
              </w:rPr>
              <w:t xml:space="preserve">The Heritage and Conservation Officer </w:t>
            </w:r>
            <w:r w:rsidR="000C5402">
              <w:rPr>
                <w:rFonts w:asciiTheme="minorHAnsi" w:hAnsiTheme="minorHAnsi" w:cstheme="minorHAnsi"/>
                <w:szCs w:val="22"/>
              </w:rPr>
              <w:t xml:space="preserve">at Growth Lancashire </w:t>
            </w:r>
            <w:r w:rsidR="00BD0CBB" w:rsidRPr="00663DE4">
              <w:rPr>
                <w:rFonts w:asciiTheme="minorHAnsi" w:hAnsiTheme="minorHAnsi" w:cstheme="minorHAnsi"/>
                <w:szCs w:val="22"/>
              </w:rPr>
              <w:t xml:space="preserve">has provided comments on the application and </w:t>
            </w:r>
            <w:r w:rsidR="00A46C42" w:rsidRPr="00663DE4">
              <w:rPr>
                <w:rFonts w:asciiTheme="minorHAnsi" w:hAnsiTheme="minorHAnsi" w:cstheme="minorHAnsi"/>
                <w:szCs w:val="22"/>
              </w:rPr>
              <w:t>considered</w:t>
            </w:r>
            <w:r w:rsidR="00BD0CBB" w:rsidRPr="00663DE4">
              <w:rPr>
                <w:rFonts w:asciiTheme="minorHAnsi" w:hAnsiTheme="minorHAnsi" w:cstheme="minorHAnsi"/>
                <w:szCs w:val="22"/>
              </w:rPr>
              <w:t xml:space="preserve"> that further information </w:t>
            </w:r>
            <w:r w:rsidR="00A46C42" w:rsidRPr="00663DE4">
              <w:rPr>
                <w:rFonts w:asciiTheme="minorHAnsi" w:hAnsiTheme="minorHAnsi" w:cstheme="minorHAnsi"/>
                <w:szCs w:val="22"/>
              </w:rPr>
              <w:t>was</w:t>
            </w:r>
            <w:r w:rsidR="00BD0CBB" w:rsidRPr="00663DE4">
              <w:rPr>
                <w:rFonts w:asciiTheme="minorHAnsi" w:hAnsiTheme="minorHAnsi" w:cstheme="minorHAnsi"/>
                <w:szCs w:val="22"/>
              </w:rPr>
              <w:t xml:space="preserve"> required to fully justify the works. They note</w:t>
            </w:r>
            <w:r w:rsidR="00A46C42" w:rsidRPr="00663DE4">
              <w:rPr>
                <w:rFonts w:asciiTheme="minorHAnsi" w:hAnsiTheme="minorHAnsi" w:cstheme="minorHAnsi"/>
                <w:szCs w:val="22"/>
              </w:rPr>
              <w:t>d</w:t>
            </w:r>
            <w:r w:rsidR="00BD0CBB" w:rsidRPr="00663DE4">
              <w:rPr>
                <w:rFonts w:asciiTheme="minorHAnsi" w:hAnsiTheme="minorHAnsi" w:cstheme="minorHAnsi"/>
                <w:szCs w:val="22"/>
              </w:rPr>
              <w:t xml:space="preserve"> that the application </w:t>
            </w:r>
            <w:r w:rsidR="00A46C42" w:rsidRPr="00663DE4">
              <w:rPr>
                <w:rFonts w:asciiTheme="minorHAnsi" w:hAnsiTheme="minorHAnsi" w:cstheme="minorHAnsi"/>
                <w:szCs w:val="22"/>
              </w:rPr>
              <w:t>was</w:t>
            </w:r>
            <w:r w:rsidR="00BD0CBB" w:rsidRPr="00663DE4">
              <w:rPr>
                <w:rFonts w:asciiTheme="minorHAnsi" w:hAnsiTheme="minorHAnsi" w:cstheme="minorHAnsi"/>
                <w:szCs w:val="22"/>
              </w:rPr>
              <w:t xml:space="preserve"> not accompanied by a structural report outlining the strength of the timbers or evidence that the applicant has explored all options starting with the most conservative approach e.g. spliced repairs rather than wholesale removal of the trusses and purlins</w:t>
            </w:r>
            <w:r w:rsidR="00A46C42" w:rsidRPr="00663DE4">
              <w:rPr>
                <w:rFonts w:asciiTheme="minorHAnsi" w:hAnsiTheme="minorHAnsi" w:cstheme="minorHAnsi"/>
                <w:szCs w:val="22"/>
              </w:rPr>
              <w:t xml:space="preserve"> nor had an </w:t>
            </w:r>
            <w:r w:rsidR="00BD0CBB" w:rsidRPr="00663DE4">
              <w:rPr>
                <w:rFonts w:asciiTheme="minorHAnsi" w:hAnsiTheme="minorHAnsi" w:cstheme="minorHAnsi"/>
                <w:szCs w:val="22"/>
              </w:rPr>
              <w:t xml:space="preserve">assessment of the significance of the barn </w:t>
            </w:r>
            <w:r w:rsidR="00A46C42" w:rsidRPr="00663DE4">
              <w:rPr>
                <w:rFonts w:asciiTheme="minorHAnsi" w:hAnsiTheme="minorHAnsi" w:cstheme="minorHAnsi"/>
                <w:szCs w:val="22"/>
              </w:rPr>
              <w:t>been included with an</w:t>
            </w:r>
            <w:r w:rsidR="00BD0CBB" w:rsidRPr="00663DE4">
              <w:rPr>
                <w:rFonts w:asciiTheme="minorHAnsi" w:hAnsiTheme="minorHAnsi" w:cstheme="minorHAnsi"/>
                <w:szCs w:val="22"/>
              </w:rPr>
              <w:t xml:space="preserve"> estimated age of the barn. </w:t>
            </w:r>
          </w:p>
          <w:p w14:paraId="478A57DF" w14:textId="77777777" w:rsidR="00A46C42" w:rsidRPr="00663DE4" w:rsidRDefault="00A46C42" w:rsidP="00A46C42">
            <w:pPr>
              <w:rPr>
                <w:rFonts w:asciiTheme="minorHAnsi" w:hAnsiTheme="minorHAnsi" w:cstheme="minorHAnsi"/>
                <w:szCs w:val="22"/>
              </w:rPr>
            </w:pPr>
          </w:p>
          <w:p w14:paraId="3FD64CF0" w14:textId="77777777" w:rsidR="00A46C42" w:rsidRPr="00663DE4" w:rsidRDefault="00A46C42" w:rsidP="00A46C42">
            <w:pPr>
              <w:rPr>
                <w:rFonts w:asciiTheme="minorHAnsi" w:hAnsiTheme="minorHAnsi" w:cstheme="minorHAnsi"/>
                <w:szCs w:val="22"/>
              </w:rPr>
            </w:pPr>
            <w:r w:rsidRPr="00663DE4">
              <w:rPr>
                <w:rFonts w:asciiTheme="minorHAnsi" w:hAnsiTheme="minorHAnsi" w:cstheme="minorHAnsi"/>
                <w:szCs w:val="22"/>
              </w:rPr>
              <w:t xml:space="preserve">The agent for the application has since provided further supporting documents including an email from the Structural Engineer from April 2024 outlining the defects of the roof trusses and an additional photograph showing their condition. The Heritage and Conservation Officer notes that substantial parts of the original structure have been replaced with sawn softwood rafters and note that the photograph evidence shows that the entire structure was in extremely poor condition and has been subject to rot and beetle infestation. </w:t>
            </w:r>
          </w:p>
          <w:p w14:paraId="425BCC2A" w14:textId="77777777" w:rsidR="00A46C42" w:rsidRPr="00663DE4" w:rsidRDefault="00A46C42" w:rsidP="00A46C42">
            <w:pPr>
              <w:rPr>
                <w:rFonts w:asciiTheme="minorHAnsi" w:hAnsiTheme="minorHAnsi" w:cstheme="minorHAnsi"/>
                <w:szCs w:val="22"/>
              </w:rPr>
            </w:pPr>
          </w:p>
          <w:p w14:paraId="0FB6E254" w14:textId="65A98971" w:rsidR="00A46C42" w:rsidRPr="00663DE4" w:rsidRDefault="00A46C42" w:rsidP="00A46C42">
            <w:pPr>
              <w:rPr>
                <w:rFonts w:asciiTheme="minorHAnsi" w:hAnsiTheme="minorHAnsi" w:cstheme="minorHAnsi"/>
                <w:szCs w:val="22"/>
              </w:rPr>
            </w:pPr>
            <w:r w:rsidRPr="00663DE4">
              <w:rPr>
                <w:rFonts w:asciiTheme="minorHAnsi" w:hAnsiTheme="minorHAnsi" w:cstheme="minorHAnsi"/>
                <w:szCs w:val="22"/>
              </w:rPr>
              <w:lastRenderedPageBreak/>
              <w:t xml:space="preserve">They consider that the develop </w:t>
            </w:r>
            <w:r w:rsidR="00D02240" w:rsidRPr="00663DE4">
              <w:rPr>
                <w:rFonts w:asciiTheme="minorHAnsi" w:hAnsiTheme="minorHAnsi" w:cstheme="minorHAnsi"/>
                <w:szCs w:val="22"/>
              </w:rPr>
              <w:t>has cause</w:t>
            </w:r>
            <w:r w:rsidR="00663DE4" w:rsidRPr="00663DE4">
              <w:rPr>
                <w:rFonts w:asciiTheme="minorHAnsi" w:hAnsiTheme="minorHAnsi" w:cstheme="minorHAnsi"/>
                <w:szCs w:val="22"/>
              </w:rPr>
              <w:t>d</w:t>
            </w:r>
            <w:r w:rsidR="00D02240" w:rsidRPr="00663DE4">
              <w:rPr>
                <w:rFonts w:asciiTheme="minorHAnsi" w:hAnsiTheme="minorHAnsi" w:cstheme="minorHAnsi"/>
                <w:szCs w:val="22"/>
              </w:rPr>
              <w:t xml:space="preserve"> a moderate to high level of less than substantial harm to the Listed Building as the works have resulted in a removal</w:t>
            </w:r>
            <w:r w:rsidR="00663DE4" w:rsidRPr="00663DE4">
              <w:rPr>
                <w:rFonts w:asciiTheme="minorHAnsi" w:hAnsiTheme="minorHAnsi" w:cstheme="minorHAnsi"/>
                <w:szCs w:val="22"/>
              </w:rPr>
              <w:t xml:space="preserve"> of historic fabric that made a major contribution to its significance. The Heritage Advisor also notes that the works were necessary to safeguard the asset and considers this a public benefit but recommends the Local Planning Authority requests all photographs before and during the works of the original roof structure are provided and deposited with the Historic Environmental Record.</w:t>
            </w:r>
            <w:r w:rsidR="00CC1C73">
              <w:rPr>
                <w:rFonts w:asciiTheme="minorHAnsi" w:hAnsiTheme="minorHAnsi" w:cstheme="minorHAnsi"/>
                <w:szCs w:val="22"/>
              </w:rPr>
              <w:t xml:space="preserve"> This could be added as an informative if listed building consent were to be granted.</w:t>
            </w:r>
          </w:p>
          <w:p w14:paraId="632BE018" w14:textId="6BA9E457" w:rsidR="00920716" w:rsidRPr="00920716" w:rsidRDefault="00920716" w:rsidP="00663DE4">
            <w:pPr>
              <w:contextualSpacing/>
              <w:jc w:val="both"/>
              <w:rPr>
                <w:rFonts w:ascii="Calibri" w:hAnsi="Calibri"/>
                <w:bCs/>
                <w:highlight w:val="yellow"/>
              </w:rPr>
            </w:pPr>
          </w:p>
        </w:tc>
      </w:tr>
      <w:tr w:rsidR="00C0704D" w:rsidRPr="00D2449B" w14:paraId="0A9D02B4" w14:textId="77777777" w:rsidTr="0012252D">
        <w:trPr>
          <w:jc w:val="center"/>
        </w:trPr>
        <w:tc>
          <w:tcPr>
            <w:tcW w:w="996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1F8D49EA" w14:textId="538D3D4E" w:rsidR="00BE2C02" w:rsidRDefault="00BE2C02" w:rsidP="00DD62F6">
            <w:pPr>
              <w:pStyle w:val="Header"/>
              <w:tabs>
                <w:tab w:val="clear" w:pos="4153"/>
                <w:tab w:val="clear" w:pos="8306"/>
              </w:tabs>
              <w:contextualSpacing/>
              <w:jc w:val="both"/>
              <w:rPr>
                <w:rFonts w:ascii="Calibri" w:hAnsi="Calibri"/>
                <w:bCs/>
                <w:szCs w:val="22"/>
              </w:rPr>
            </w:pPr>
            <w:r w:rsidRPr="00C0174A">
              <w:rPr>
                <w:rFonts w:ascii="Calibri" w:hAnsi="Calibri"/>
                <w:bCs/>
                <w:szCs w:val="22"/>
              </w:rPr>
              <w:t>NPPF paragraph 2</w:t>
            </w:r>
            <w:r w:rsidR="00C0174A">
              <w:rPr>
                <w:rFonts w:ascii="Calibri" w:hAnsi="Calibri"/>
                <w:bCs/>
                <w:szCs w:val="22"/>
              </w:rPr>
              <w:t>15</w:t>
            </w:r>
            <w:r w:rsidRPr="00C0174A">
              <w:rPr>
                <w:rFonts w:ascii="Calibri" w:hAnsi="Calibri"/>
                <w:bCs/>
                <w:szCs w:val="22"/>
              </w:rPr>
              <w:t xml:space="preserve"> requires that less than substantial harm be weighed against any public benefits of the </w:t>
            </w:r>
            <w:r w:rsidR="000C3E3F">
              <w:rPr>
                <w:rFonts w:ascii="Calibri" w:hAnsi="Calibri"/>
                <w:bCs/>
                <w:szCs w:val="22"/>
              </w:rPr>
              <w:t>development</w:t>
            </w:r>
            <w:r w:rsidRPr="00C0174A">
              <w:rPr>
                <w:rFonts w:ascii="Calibri" w:hAnsi="Calibri"/>
                <w:bCs/>
                <w:szCs w:val="22"/>
              </w:rPr>
              <w:t>. Having regard to the duty at section 66 of the Planning (Listed Buildings and Conservation Areas) Act 1990, in giving ‘great weight’ to the conservation of the designated heritage asset</w:t>
            </w:r>
            <w:r w:rsidR="00C0174A" w:rsidRPr="00C0174A">
              <w:rPr>
                <w:rFonts w:ascii="Calibri" w:hAnsi="Calibri"/>
                <w:bCs/>
                <w:szCs w:val="22"/>
              </w:rPr>
              <w:t>, the requirements of Sectio</w:t>
            </w:r>
            <w:r w:rsidR="00165BE8">
              <w:rPr>
                <w:rFonts w:ascii="Calibri" w:hAnsi="Calibri"/>
                <w:bCs/>
                <w:szCs w:val="22"/>
              </w:rPr>
              <w:t>n</w:t>
            </w:r>
            <w:r w:rsidR="00C0174A" w:rsidRPr="00C0174A">
              <w:rPr>
                <w:rFonts w:ascii="Calibri" w:hAnsi="Calibri"/>
                <w:bCs/>
                <w:szCs w:val="22"/>
              </w:rPr>
              <w:t xml:space="preserve"> 16 of the NPPF and </w:t>
            </w:r>
            <w:r w:rsidRPr="00C0174A">
              <w:rPr>
                <w:rFonts w:ascii="Calibri" w:hAnsi="Calibri"/>
                <w:bCs/>
                <w:szCs w:val="22"/>
              </w:rPr>
              <w:t>Ribble Valley Core Strategy Key Statement EN5 and Policies DME4 and DMG1</w:t>
            </w:r>
            <w:r w:rsidR="00C0174A" w:rsidRPr="00C0174A">
              <w:rPr>
                <w:rFonts w:ascii="Calibri" w:hAnsi="Calibri"/>
                <w:bCs/>
                <w:szCs w:val="22"/>
              </w:rPr>
              <w:t xml:space="preserve">, </w:t>
            </w:r>
            <w:r w:rsidR="000C5402">
              <w:rPr>
                <w:rFonts w:ascii="Calibri" w:hAnsi="Calibri"/>
                <w:bCs/>
                <w:szCs w:val="22"/>
              </w:rPr>
              <w:t xml:space="preserve">it is considered that </w:t>
            </w:r>
            <w:r w:rsidR="00C0174A" w:rsidRPr="00C0174A">
              <w:rPr>
                <w:rFonts w:ascii="Calibri" w:hAnsi="Calibri"/>
                <w:bCs/>
                <w:szCs w:val="22"/>
              </w:rPr>
              <w:t xml:space="preserve">the </w:t>
            </w:r>
            <w:r w:rsidR="00A84B59">
              <w:rPr>
                <w:rFonts w:ascii="Calibri" w:hAnsi="Calibri"/>
                <w:bCs/>
                <w:szCs w:val="22"/>
              </w:rPr>
              <w:t xml:space="preserve">public benefit of ensuring the long term conservation of the barn </w:t>
            </w:r>
            <w:r w:rsidR="000C5402">
              <w:rPr>
                <w:rFonts w:ascii="Calibri" w:hAnsi="Calibri"/>
                <w:bCs/>
                <w:szCs w:val="22"/>
              </w:rPr>
              <w:t xml:space="preserve">is given significant weight. The benefit of ensuring the designated heritage asset has a long-term use </w:t>
            </w:r>
            <w:r w:rsidR="00A84B59">
              <w:rPr>
                <w:rFonts w:ascii="Calibri" w:hAnsi="Calibri"/>
                <w:bCs/>
                <w:szCs w:val="22"/>
              </w:rPr>
              <w:t>is considered to outweigh the less than substantial harm caused by the removal of the historic roof and replacement of new trusses and purlins</w:t>
            </w:r>
            <w:r w:rsidR="000C5402">
              <w:rPr>
                <w:rFonts w:ascii="Calibri" w:hAnsi="Calibri"/>
                <w:bCs/>
                <w:szCs w:val="22"/>
              </w:rPr>
              <w:t xml:space="preserve"> and whilst it is regrettable that the original trusses and purlins were not salvageable for reuse, this harm does not outweigh the benefit highlighted above.</w:t>
            </w:r>
          </w:p>
          <w:p w14:paraId="6EB7285A" w14:textId="77777777" w:rsidR="0012252D" w:rsidRDefault="0012252D" w:rsidP="00DD62F6">
            <w:pPr>
              <w:pStyle w:val="Header"/>
              <w:tabs>
                <w:tab w:val="clear" w:pos="4153"/>
                <w:tab w:val="clear" w:pos="8306"/>
              </w:tabs>
              <w:contextualSpacing/>
              <w:jc w:val="both"/>
              <w:rPr>
                <w:rFonts w:ascii="Calibri" w:hAnsi="Calibri"/>
                <w:bCs/>
                <w:szCs w:val="22"/>
              </w:rPr>
            </w:pPr>
          </w:p>
          <w:p w14:paraId="02344F52" w14:textId="7696318E" w:rsidR="009F4443" w:rsidRDefault="0012252D" w:rsidP="0012252D">
            <w:pPr>
              <w:contextualSpacing/>
              <w:jc w:val="both"/>
              <w:rPr>
                <w:rFonts w:ascii="Calibri" w:hAnsi="Calibri"/>
                <w:bCs/>
                <w:szCs w:val="22"/>
              </w:rPr>
            </w:pPr>
            <w:r w:rsidRPr="0012252D">
              <w:rPr>
                <w:rFonts w:ascii="Calibri" w:hAnsi="Calibri"/>
                <w:bCs/>
                <w:szCs w:val="22"/>
              </w:rPr>
              <w:t xml:space="preserve">As such, the </w:t>
            </w:r>
            <w:r w:rsidR="000C3E3F">
              <w:rPr>
                <w:rFonts w:ascii="Calibri" w:hAnsi="Calibri"/>
                <w:bCs/>
                <w:szCs w:val="22"/>
              </w:rPr>
              <w:t>development</w:t>
            </w:r>
            <w:r w:rsidRPr="0012252D">
              <w:rPr>
                <w:rFonts w:ascii="Calibri" w:hAnsi="Calibri"/>
                <w:bCs/>
                <w:szCs w:val="22"/>
              </w:rPr>
              <w:t xml:space="preserve"> complies with Key Statement EN5 and Policies DMG1 and DME4 of the Ribble Valley Core Strategy and the requirements of Section 16 and 66 of the Planning (Listed Buildings and Conservation Areas) Act 1990 and Section 16 of the National Planning Policy Framework.</w:t>
            </w:r>
            <w:r>
              <w:rPr>
                <w:rFonts w:ascii="Calibri" w:hAnsi="Calibri"/>
                <w:bCs/>
                <w:szCs w:val="22"/>
              </w:rPr>
              <w:t xml:space="preserve"> H</w:t>
            </w:r>
            <w:r w:rsidRPr="0012252D">
              <w:rPr>
                <w:rFonts w:ascii="Calibri" w:hAnsi="Calibri"/>
                <w:bCs/>
                <w:szCs w:val="22"/>
              </w:rPr>
              <w:t>aving regard to all material considerations and matters raised, the application is recommended for approval subject to conditions.</w:t>
            </w:r>
          </w:p>
          <w:p w14:paraId="3A4BD7A7" w14:textId="4427F28B" w:rsidR="0012252D" w:rsidRPr="0012252D" w:rsidRDefault="0012252D" w:rsidP="0012252D">
            <w:pPr>
              <w:contextualSpacing/>
              <w:jc w:val="both"/>
              <w:rPr>
                <w:rFonts w:ascii="Calibri" w:hAnsi="Calibri"/>
                <w:bCs/>
                <w:szCs w:val="22"/>
              </w:rPr>
            </w:pPr>
          </w:p>
        </w:tc>
      </w:tr>
      <w:tr w:rsidR="00C0704D" w:rsidRPr="00D2449B" w14:paraId="507FC89B" w14:textId="77777777" w:rsidTr="0012252D">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76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13EFADCC" w:rsidR="00C0704D" w:rsidRPr="00D2449B" w:rsidRDefault="0012252D" w:rsidP="0012252D">
            <w:pPr>
              <w:rPr>
                <w:rFonts w:ascii="Calibri" w:hAnsi="Calibri"/>
                <w:bCs/>
                <w:szCs w:val="22"/>
              </w:rPr>
            </w:pPr>
            <w:r w:rsidRPr="0012252D">
              <w:rPr>
                <w:rFonts w:ascii="Calibri" w:hAnsi="Calibri"/>
                <w:bCs/>
                <w:szCs w:val="22"/>
              </w:rPr>
              <w:t>That listing building consent be granted subject to the imposition of conditions.</w:t>
            </w:r>
          </w:p>
        </w:tc>
      </w:tr>
    </w:tbl>
    <w:p w14:paraId="513FB541" w14:textId="77777777" w:rsidR="00920716" w:rsidRPr="00D2449B" w:rsidRDefault="00920716">
      <w:pPr>
        <w:rPr>
          <w:rFonts w:ascii="Calibri" w:hAnsi="Calibri"/>
          <w:szCs w:val="22"/>
        </w:rPr>
      </w:pPr>
    </w:p>
    <w:sectPr w:rsidR="00920716"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B27"/>
    <w:multiLevelType w:val="hybridMultilevel"/>
    <w:tmpl w:val="EA3E08DC"/>
    <w:lvl w:ilvl="0" w:tplc="DF26382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630D19"/>
    <w:multiLevelType w:val="hybridMultilevel"/>
    <w:tmpl w:val="980EEC88"/>
    <w:lvl w:ilvl="0" w:tplc="4B34A2B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94C6B"/>
    <w:multiLevelType w:val="hybridMultilevel"/>
    <w:tmpl w:val="66203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E895860"/>
    <w:multiLevelType w:val="hybridMultilevel"/>
    <w:tmpl w:val="658404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DA28E9"/>
    <w:multiLevelType w:val="hybridMultilevel"/>
    <w:tmpl w:val="7E66A8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223EB8"/>
    <w:multiLevelType w:val="hybridMultilevel"/>
    <w:tmpl w:val="98266C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6"/>
  </w:num>
  <w:num w:numId="2" w16cid:durableId="1686520079">
    <w:abstractNumId w:val="1"/>
  </w:num>
  <w:num w:numId="3" w16cid:durableId="757554677">
    <w:abstractNumId w:val="4"/>
  </w:num>
  <w:num w:numId="4" w16cid:durableId="1814904398">
    <w:abstractNumId w:val="0"/>
  </w:num>
  <w:num w:numId="5" w16cid:durableId="1543321241">
    <w:abstractNumId w:val="2"/>
  </w:num>
  <w:num w:numId="6" w16cid:durableId="1153526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201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5052"/>
    <w:rsid w:val="000B5CB5"/>
    <w:rsid w:val="000C3E3F"/>
    <w:rsid w:val="000C5402"/>
    <w:rsid w:val="000F796E"/>
    <w:rsid w:val="0012252D"/>
    <w:rsid w:val="00130035"/>
    <w:rsid w:val="00165BE8"/>
    <w:rsid w:val="001C1F75"/>
    <w:rsid w:val="001C3BC8"/>
    <w:rsid w:val="001D4F7A"/>
    <w:rsid w:val="00204857"/>
    <w:rsid w:val="00250879"/>
    <w:rsid w:val="002748A0"/>
    <w:rsid w:val="00284BD0"/>
    <w:rsid w:val="0029252E"/>
    <w:rsid w:val="0029334A"/>
    <w:rsid w:val="002A01CF"/>
    <w:rsid w:val="002C6277"/>
    <w:rsid w:val="002F2580"/>
    <w:rsid w:val="00321B6E"/>
    <w:rsid w:val="00440CB6"/>
    <w:rsid w:val="0046548C"/>
    <w:rsid w:val="00467962"/>
    <w:rsid w:val="004947BB"/>
    <w:rsid w:val="004A5EA9"/>
    <w:rsid w:val="004C2434"/>
    <w:rsid w:val="004F0649"/>
    <w:rsid w:val="004F51C4"/>
    <w:rsid w:val="00510FA2"/>
    <w:rsid w:val="00542273"/>
    <w:rsid w:val="00556ECD"/>
    <w:rsid w:val="005D7F56"/>
    <w:rsid w:val="005E1C6C"/>
    <w:rsid w:val="005E65DF"/>
    <w:rsid w:val="00663DE4"/>
    <w:rsid w:val="00692B60"/>
    <w:rsid w:val="00693658"/>
    <w:rsid w:val="006A71AD"/>
    <w:rsid w:val="006B4414"/>
    <w:rsid w:val="006C2BFA"/>
    <w:rsid w:val="006F6849"/>
    <w:rsid w:val="0070054B"/>
    <w:rsid w:val="00761D2C"/>
    <w:rsid w:val="00773A66"/>
    <w:rsid w:val="00776AE2"/>
    <w:rsid w:val="007C1896"/>
    <w:rsid w:val="007C791C"/>
    <w:rsid w:val="007D7761"/>
    <w:rsid w:val="007D7DF4"/>
    <w:rsid w:val="007E0D23"/>
    <w:rsid w:val="007F16D6"/>
    <w:rsid w:val="00811771"/>
    <w:rsid w:val="00824DB6"/>
    <w:rsid w:val="00837F4F"/>
    <w:rsid w:val="00853C18"/>
    <w:rsid w:val="008542DE"/>
    <w:rsid w:val="00855615"/>
    <w:rsid w:val="00876205"/>
    <w:rsid w:val="008A28C8"/>
    <w:rsid w:val="008C40DD"/>
    <w:rsid w:val="008C6505"/>
    <w:rsid w:val="00920716"/>
    <w:rsid w:val="00933FA1"/>
    <w:rsid w:val="00955EEB"/>
    <w:rsid w:val="0096000B"/>
    <w:rsid w:val="009C1D52"/>
    <w:rsid w:val="009C543B"/>
    <w:rsid w:val="009D6DBB"/>
    <w:rsid w:val="009F4443"/>
    <w:rsid w:val="00A42E82"/>
    <w:rsid w:val="00A46C42"/>
    <w:rsid w:val="00A56220"/>
    <w:rsid w:val="00A579BB"/>
    <w:rsid w:val="00A63D55"/>
    <w:rsid w:val="00A84B59"/>
    <w:rsid w:val="00A95D89"/>
    <w:rsid w:val="00AB3306"/>
    <w:rsid w:val="00B417CE"/>
    <w:rsid w:val="00B93EB5"/>
    <w:rsid w:val="00BD0CBB"/>
    <w:rsid w:val="00BD3F03"/>
    <w:rsid w:val="00BE2C02"/>
    <w:rsid w:val="00C0174A"/>
    <w:rsid w:val="00C0704D"/>
    <w:rsid w:val="00C25722"/>
    <w:rsid w:val="00C618DB"/>
    <w:rsid w:val="00C8093D"/>
    <w:rsid w:val="00CC1C73"/>
    <w:rsid w:val="00D02240"/>
    <w:rsid w:val="00D11007"/>
    <w:rsid w:val="00D17EB1"/>
    <w:rsid w:val="00D2449B"/>
    <w:rsid w:val="00D54E67"/>
    <w:rsid w:val="00DA7EDA"/>
    <w:rsid w:val="00DD62F6"/>
    <w:rsid w:val="00E212E3"/>
    <w:rsid w:val="00E46243"/>
    <w:rsid w:val="00E60086"/>
    <w:rsid w:val="00E66534"/>
    <w:rsid w:val="00E72F6C"/>
    <w:rsid w:val="00EA09F9"/>
    <w:rsid w:val="00EB2523"/>
    <w:rsid w:val="00EB44E0"/>
    <w:rsid w:val="00EC23C7"/>
    <w:rsid w:val="00ED00B7"/>
    <w:rsid w:val="00EF44E6"/>
    <w:rsid w:val="00FB04B3"/>
    <w:rsid w:val="00FB5295"/>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Default">
    <w:name w:val="Default"/>
    <w:rsid w:val="00FB04B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60270">
      <w:bodyDiv w:val="1"/>
      <w:marLeft w:val="0"/>
      <w:marRight w:val="0"/>
      <w:marTop w:val="0"/>
      <w:marBottom w:val="0"/>
      <w:divBdr>
        <w:top w:val="none" w:sz="0" w:space="0" w:color="auto"/>
        <w:left w:val="none" w:sz="0" w:space="0" w:color="auto"/>
        <w:bottom w:val="none" w:sz="0" w:space="0" w:color="auto"/>
        <w:right w:val="none" w:sz="0" w:space="0" w:color="auto"/>
      </w:divBdr>
    </w:div>
    <w:div w:id="187573531">
      <w:bodyDiv w:val="1"/>
      <w:marLeft w:val="0"/>
      <w:marRight w:val="0"/>
      <w:marTop w:val="0"/>
      <w:marBottom w:val="0"/>
      <w:divBdr>
        <w:top w:val="none" w:sz="0" w:space="0" w:color="auto"/>
        <w:left w:val="none" w:sz="0" w:space="0" w:color="auto"/>
        <w:bottom w:val="none" w:sz="0" w:space="0" w:color="auto"/>
        <w:right w:val="none" w:sz="0" w:space="0" w:color="auto"/>
      </w:divBdr>
    </w:div>
    <w:div w:id="199755503">
      <w:bodyDiv w:val="1"/>
      <w:marLeft w:val="0"/>
      <w:marRight w:val="0"/>
      <w:marTop w:val="0"/>
      <w:marBottom w:val="0"/>
      <w:divBdr>
        <w:top w:val="none" w:sz="0" w:space="0" w:color="auto"/>
        <w:left w:val="none" w:sz="0" w:space="0" w:color="auto"/>
        <w:bottom w:val="none" w:sz="0" w:space="0" w:color="auto"/>
        <w:right w:val="none" w:sz="0" w:space="0" w:color="auto"/>
      </w:divBdr>
    </w:div>
    <w:div w:id="651521138">
      <w:bodyDiv w:val="1"/>
      <w:marLeft w:val="0"/>
      <w:marRight w:val="0"/>
      <w:marTop w:val="0"/>
      <w:marBottom w:val="0"/>
      <w:divBdr>
        <w:top w:val="none" w:sz="0" w:space="0" w:color="auto"/>
        <w:left w:val="none" w:sz="0" w:space="0" w:color="auto"/>
        <w:bottom w:val="none" w:sz="0" w:space="0" w:color="auto"/>
        <w:right w:val="none" w:sz="0" w:space="0" w:color="auto"/>
      </w:divBdr>
    </w:div>
    <w:div w:id="696009351">
      <w:bodyDiv w:val="1"/>
      <w:marLeft w:val="0"/>
      <w:marRight w:val="0"/>
      <w:marTop w:val="0"/>
      <w:marBottom w:val="0"/>
      <w:divBdr>
        <w:top w:val="none" w:sz="0" w:space="0" w:color="auto"/>
        <w:left w:val="none" w:sz="0" w:space="0" w:color="auto"/>
        <w:bottom w:val="none" w:sz="0" w:space="0" w:color="auto"/>
        <w:right w:val="none" w:sz="0" w:space="0" w:color="auto"/>
      </w:divBdr>
    </w:div>
    <w:div w:id="798497258">
      <w:bodyDiv w:val="1"/>
      <w:marLeft w:val="0"/>
      <w:marRight w:val="0"/>
      <w:marTop w:val="0"/>
      <w:marBottom w:val="0"/>
      <w:divBdr>
        <w:top w:val="none" w:sz="0" w:space="0" w:color="auto"/>
        <w:left w:val="none" w:sz="0" w:space="0" w:color="auto"/>
        <w:bottom w:val="none" w:sz="0" w:space="0" w:color="auto"/>
        <w:right w:val="none" w:sz="0" w:space="0" w:color="auto"/>
      </w:divBdr>
    </w:div>
    <w:div w:id="806821288">
      <w:bodyDiv w:val="1"/>
      <w:marLeft w:val="0"/>
      <w:marRight w:val="0"/>
      <w:marTop w:val="0"/>
      <w:marBottom w:val="0"/>
      <w:divBdr>
        <w:top w:val="none" w:sz="0" w:space="0" w:color="auto"/>
        <w:left w:val="none" w:sz="0" w:space="0" w:color="auto"/>
        <w:bottom w:val="none" w:sz="0" w:space="0" w:color="auto"/>
        <w:right w:val="none" w:sz="0" w:space="0" w:color="auto"/>
      </w:divBdr>
    </w:div>
    <w:div w:id="866528866">
      <w:bodyDiv w:val="1"/>
      <w:marLeft w:val="0"/>
      <w:marRight w:val="0"/>
      <w:marTop w:val="0"/>
      <w:marBottom w:val="0"/>
      <w:divBdr>
        <w:top w:val="none" w:sz="0" w:space="0" w:color="auto"/>
        <w:left w:val="none" w:sz="0" w:space="0" w:color="auto"/>
        <w:bottom w:val="none" w:sz="0" w:space="0" w:color="auto"/>
        <w:right w:val="none" w:sz="0" w:space="0" w:color="auto"/>
      </w:divBdr>
    </w:div>
    <w:div w:id="944462500">
      <w:bodyDiv w:val="1"/>
      <w:marLeft w:val="0"/>
      <w:marRight w:val="0"/>
      <w:marTop w:val="0"/>
      <w:marBottom w:val="0"/>
      <w:divBdr>
        <w:top w:val="none" w:sz="0" w:space="0" w:color="auto"/>
        <w:left w:val="none" w:sz="0" w:space="0" w:color="auto"/>
        <w:bottom w:val="none" w:sz="0" w:space="0" w:color="auto"/>
        <w:right w:val="none" w:sz="0" w:space="0" w:color="auto"/>
      </w:divBdr>
    </w:div>
    <w:div w:id="1085224892">
      <w:bodyDiv w:val="1"/>
      <w:marLeft w:val="0"/>
      <w:marRight w:val="0"/>
      <w:marTop w:val="0"/>
      <w:marBottom w:val="0"/>
      <w:divBdr>
        <w:top w:val="none" w:sz="0" w:space="0" w:color="auto"/>
        <w:left w:val="none" w:sz="0" w:space="0" w:color="auto"/>
        <w:bottom w:val="none" w:sz="0" w:space="0" w:color="auto"/>
        <w:right w:val="none" w:sz="0" w:space="0" w:color="auto"/>
      </w:divBdr>
    </w:div>
    <w:div w:id="1150901039">
      <w:bodyDiv w:val="1"/>
      <w:marLeft w:val="0"/>
      <w:marRight w:val="0"/>
      <w:marTop w:val="0"/>
      <w:marBottom w:val="0"/>
      <w:divBdr>
        <w:top w:val="none" w:sz="0" w:space="0" w:color="auto"/>
        <w:left w:val="none" w:sz="0" w:space="0" w:color="auto"/>
        <w:bottom w:val="none" w:sz="0" w:space="0" w:color="auto"/>
        <w:right w:val="none" w:sz="0" w:space="0" w:color="auto"/>
      </w:divBdr>
    </w:div>
    <w:div w:id="1277521365">
      <w:bodyDiv w:val="1"/>
      <w:marLeft w:val="0"/>
      <w:marRight w:val="0"/>
      <w:marTop w:val="0"/>
      <w:marBottom w:val="0"/>
      <w:divBdr>
        <w:top w:val="none" w:sz="0" w:space="0" w:color="auto"/>
        <w:left w:val="none" w:sz="0" w:space="0" w:color="auto"/>
        <w:bottom w:val="none" w:sz="0" w:space="0" w:color="auto"/>
        <w:right w:val="none" w:sz="0" w:space="0" w:color="auto"/>
      </w:divBdr>
    </w:div>
    <w:div w:id="1314718214">
      <w:bodyDiv w:val="1"/>
      <w:marLeft w:val="0"/>
      <w:marRight w:val="0"/>
      <w:marTop w:val="0"/>
      <w:marBottom w:val="0"/>
      <w:divBdr>
        <w:top w:val="none" w:sz="0" w:space="0" w:color="auto"/>
        <w:left w:val="none" w:sz="0" w:space="0" w:color="auto"/>
        <w:bottom w:val="none" w:sz="0" w:space="0" w:color="auto"/>
        <w:right w:val="none" w:sz="0" w:space="0" w:color="auto"/>
      </w:divBdr>
    </w:div>
    <w:div w:id="1372457145">
      <w:bodyDiv w:val="1"/>
      <w:marLeft w:val="0"/>
      <w:marRight w:val="0"/>
      <w:marTop w:val="0"/>
      <w:marBottom w:val="0"/>
      <w:divBdr>
        <w:top w:val="none" w:sz="0" w:space="0" w:color="auto"/>
        <w:left w:val="none" w:sz="0" w:space="0" w:color="auto"/>
        <w:bottom w:val="none" w:sz="0" w:space="0" w:color="auto"/>
        <w:right w:val="none" w:sz="0" w:space="0" w:color="auto"/>
      </w:divBdr>
    </w:div>
    <w:div w:id="1455169840">
      <w:bodyDiv w:val="1"/>
      <w:marLeft w:val="0"/>
      <w:marRight w:val="0"/>
      <w:marTop w:val="0"/>
      <w:marBottom w:val="0"/>
      <w:divBdr>
        <w:top w:val="none" w:sz="0" w:space="0" w:color="auto"/>
        <w:left w:val="none" w:sz="0" w:space="0" w:color="auto"/>
        <w:bottom w:val="none" w:sz="0" w:space="0" w:color="auto"/>
        <w:right w:val="none" w:sz="0" w:space="0" w:color="auto"/>
      </w:divBdr>
    </w:div>
    <w:div w:id="1568883656">
      <w:bodyDiv w:val="1"/>
      <w:marLeft w:val="0"/>
      <w:marRight w:val="0"/>
      <w:marTop w:val="0"/>
      <w:marBottom w:val="0"/>
      <w:divBdr>
        <w:top w:val="none" w:sz="0" w:space="0" w:color="auto"/>
        <w:left w:val="none" w:sz="0" w:space="0" w:color="auto"/>
        <w:bottom w:val="none" w:sz="0" w:space="0" w:color="auto"/>
        <w:right w:val="none" w:sz="0" w:space="0" w:color="auto"/>
      </w:divBdr>
    </w:div>
    <w:div w:id="1676224438">
      <w:bodyDiv w:val="1"/>
      <w:marLeft w:val="0"/>
      <w:marRight w:val="0"/>
      <w:marTop w:val="0"/>
      <w:marBottom w:val="0"/>
      <w:divBdr>
        <w:top w:val="none" w:sz="0" w:space="0" w:color="auto"/>
        <w:left w:val="none" w:sz="0" w:space="0" w:color="auto"/>
        <w:bottom w:val="none" w:sz="0" w:space="0" w:color="auto"/>
        <w:right w:val="none" w:sz="0" w:space="0" w:color="auto"/>
      </w:divBdr>
    </w:div>
    <w:div w:id="1715154403">
      <w:bodyDiv w:val="1"/>
      <w:marLeft w:val="0"/>
      <w:marRight w:val="0"/>
      <w:marTop w:val="0"/>
      <w:marBottom w:val="0"/>
      <w:divBdr>
        <w:top w:val="none" w:sz="0" w:space="0" w:color="auto"/>
        <w:left w:val="none" w:sz="0" w:space="0" w:color="auto"/>
        <w:bottom w:val="none" w:sz="0" w:space="0" w:color="auto"/>
        <w:right w:val="none" w:sz="0" w:space="0" w:color="auto"/>
      </w:divBdr>
    </w:div>
    <w:div w:id="1882204880">
      <w:bodyDiv w:val="1"/>
      <w:marLeft w:val="0"/>
      <w:marRight w:val="0"/>
      <w:marTop w:val="0"/>
      <w:marBottom w:val="0"/>
      <w:divBdr>
        <w:top w:val="none" w:sz="0" w:space="0" w:color="auto"/>
        <w:left w:val="none" w:sz="0" w:space="0" w:color="auto"/>
        <w:bottom w:val="none" w:sz="0" w:space="0" w:color="auto"/>
        <w:right w:val="none" w:sz="0" w:space="0" w:color="auto"/>
      </w:divBdr>
    </w:div>
    <w:div w:id="203407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2705</Words>
  <Characters>15424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Jane Tucker</cp:lastModifiedBy>
  <cp:revision>2</cp:revision>
  <cp:lastPrinted>2023-04-19T16:24:00Z</cp:lastPrinted>
  <dcterms:created xsi:type="dcterms:W3CDTF">2025-01-22T17:24:00Z</dcterms:created>
  <dcterms:modified xsi:type="dcterms:W3CDTF">2025-01-22T17:24:00Z</dcterms:modified>
</cp:coreProperties>
</file>