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62"/>
        <w:gridCol w:w="197"/>
        <w:gridCol w:w="431"/>
        <w:gridCol w:w="723"/>
        <w:gridCol w:w="696"/>
        <w:gridCol w:w="602"/>
        <w:gridCol w:w="699"/>
        <w:gridCol w:w="579"/>
        <w:gridCol w:w="1030"/>
        <w:gridCol w:w="1030"/>
        <w:gridCol w:w="1031"/>
      </w:tblGrid>
      <w:tr w:rsidR="004A5EA9" w:rsidRPr="00D2449B" w14:paraId="230E00AF"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C048E8">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5459BC" w:rsidRDefault="00837F4F" w:rsidP="00D2449B">
            <w:pPr>
              <w:jc w:val="center"/>
              <w:rPr>
                <w:rFonts w:ascii="Calibri" w:hAnsi="Calibri"/>
                <w:b/>
                <w:szCs w:val="22"/>
              </w:rPr>
            </w:pPr>
            <w:r w:rsidRPr="005459BC">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5459BC" w:rsidRDefault="00837F4F" w:rsidP="00D2449B">
            <w:pPr>
              <w:jc w:val="center"/>
              <w:rPr>
                <w:rFonts w:ascii="Calibri" w:hAnsi="Calibri"/>
                <w:b/>
                <w:szCs w:val="22"/>
              </w:rPr>
            </w:pPr>
            <w:r w:rsidRPr="005459BC">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2B396F50" w:rsidR="00837F4F" w:rsidRPr="005459BC" w:rsidRDefault="00435714" w:rsidP="00D2449B">
            <w:pPr>
              <w:jc w:val="center"/>
              <w:rPr>
                <w:rFonts w:ascii="Calibri" w:hAnsi="Calibri"/>
                <w:b/>
                <w:szCs w:val="22"/>
              </w:rPr>
            </w:pPr>
            <w:r w:rsidRPr="005459BC">
              <w:rPr>
                <w:rFonts w:ascii="Calibri" w:hAnsi="Calibri"/>
                <w:b/>
                <w:szCs w:val="22"/>
              </w:rPr>
              <w:t>MC</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5459BC" w:rsidRDefault="00837F4F" w:rsidP="00D2449B">
            <w:pPr>
              <w:jc w:val="center"/>
              <w:rPr>
                <w:rFonts w:ascii="Calibri" w:hAnsi="Calibri"/>
                <w:b/>
                <w:szCs w:val="22"/>
              </w:rPr>
            </w:pPr>
            <w:r w:rsidRPr="005459BC">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0D80BF6" w:rsidR="00837F4F" w:rsidRPr="005459BC" w:rsidRDefault="005459BC" w:rsidP="00D2449B">
            <w:pPr>
              <w:jc w:val="center"/>
              <w:rPr>
                <w:rFonts w:ascii="Calibri" w:hAnsi="Calibri"/>
                <w:b/>
                <w:szCs w:val="22"/>
              </w:rPr>
            </w:pPr>
            <w:r w:rsidRPr="005459BC">
              <w:rPr>
                <w:rFonts w:ascii="Calibri" w:hAnsi="Calibri"/>
                <w:b/>
                <w:szCs w:val="22"/>
              </w:rPr>
              <w:t>05/02/2025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E020ACD" w:rsidR="00837F4F" w:rsidRPr="00D2449B" w:rsidRDefault="00C42CFA"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F2DDB80" w:rsidR="00837F4F" w:rsidRPr="00D2449B" w:rsidRDefault="00C42CFA" w:rsidP="00D2449B">
            <w:pPr>
              <w:jc w:val="center"/>
              <w:rPr>
                <w:rFonts w:ascii="Calibri" w:hAnsi="Calibri"/>
                <w:b/>
                <w:szCs w:val="22"/>
              </w:rPr>
            </w:pPr>
            <w:r>
              <w:rPr>
                <w:rFonts w:ascii="Calibri" w:hAnsi="Calibri"/>
                <w:b/>
                <w:szCs w:val="22"/>
              </w:rPr>
              <w:t>5/2/25</w:t>
            </w:r>
          </w:p>
        </w:tc>
      </w:tr>
      <w:tr w:rsidR="004A5EA9" w:rsidRPr="00D2449B" w14:paraId="2094A164" w14:textId="77777777" w:rsidTr="00C048E8">
        <w:trPr>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C048E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8770EEC" w:rsidR="004A5EA9" w:rsidRPr="00250879" w:rsidRDefault="00435714" w:rsidP="008542DE">
            <w:pPr>
              <w:rPr>
                <w:rFonts w:ascii="Calibri" w:hAnsi="Calibri"/>
                <w:color w:val="548DD4" w:themeColor="text2" w:themeTint="99"/>
                <w:szCs w:val="22"/>
              </w:rPr>
            </w:pPr>
            <w:r>
              <w:rPr>
                <w:rFonts w:ascii="Calibri" w:hAnsi="Calibri"/>
                <w:szCs w:val="22"/>
              </w:rPr>
              <w:t>3/2024/0946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C048E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620A177" w:rsidR="00824DB6" w:rsidRPr="00C0704D" w:rsidRDefault="00435714" w:rsidP="002C6277">
            <w:pPr>
              <w:rPr>
                <w:rFonts w:ascii="Calibri" w:hAnsi="Calibri"/>
                <w:szCs w:val="22"/>
              </w:rPr>
            </w:pPr>
            <w:r>
              <w:rPr>
                <w:rFonts w:ascii="Calibri" w:hAnsi="Calibri"/>
                <w:szCs w:val="22"/>
              </w:rPr>
              <w:t>12/12/2024</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C724AB9" w:rsidR="00824DB6" w:rsidRPr="00C0704D" w:rsidRDefault="00435714" w:rsidP="002C6277">
            <w:pPr>
              <w:rPr>
                <w:rFonts w:ascii="Calibri" w:hAnsi="Calibri"/>
                <w:szCs w:val="22"/>
              </w:rPr>
            </w:pPr>
            <w:r>
              <w:rPr>
                <w:rFonts w:ascii="Calibri" w:hAnsi="Calibri"/>
                <w:szCs w:val="22"/>
              </w:rPr>
              <w:t>12/12/2024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C048E8">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1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C364DAE" w:rsidR="004A5EA9" w:rsidRPr="00E32D2A" w:rsidRDefault="00E32D2A" w:rsidP="00811771">
            <w:pPr>
              <w:rPr>
                <w:rFonts w:ascii="Calibri" w:hAnsi="Calibri"/>
                <w:szCs w:val="22"/>
              </w:rPr>
            </w:pPr>
            <w:r w:rsidRPr="00E32D2A">
              <w:rPr>
                <w:rFonts w:ascii="Calibri" w:hAnsi="Calibri"/>
                <w:szCs w:val="22"/>
              </w:rPr>
              <w:t>MC</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C048E8">
        <w:trPr>
          <w:jc w:val="center"/>
        </w:trPr>
        <w:tc>
          <w:tcPr>
            <w:tcW w:w="624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10CB1BF1" w:rsidR="004A5EA9" w:rsidRPr="00D2449B" w:rsidRDefault="004A2E5D" w:rsidP="002A01CF">
            <w:pPr>
              <w:jc w:val="center"/>
              <w:rPr>
                <w:rFonts w:ascii="Calibri" w:hAnsi="Calibri"/>
                <w:b/>
                <w:szCs w:val="22"/>
              </w:rPr>
            </w:pPr>
            <w:r>
              <w:rPr>
                <w:rFonts w:ascii="Calibri" w:hAnsi="Calibri"/>
                <w:b/>
                <w:szCs w:val="22"/>
              </w:rPr>
              <w:t>APPROVAL</w:t>
            </w:r>
          </w:p>
        </w:tc>
      </w:tr>
      <w:tr w:rsidR="004A5EA9" w:rsidRPr="00D2449B" w14:paraId="7813B96A" w14:textId="77777777" w:rsidTr="00C048E8">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C048E8">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F20D527" w:rsidR="004A5EA9" w:rsidRPr="00E32D2A" w:rsidRDefault="00D907AE">
            <w:pPr>
              <w:rPr>
                <w:rFonts w:ascii="Calibri" w:hAnsi="Calibri"/>
                <w:szCs w:val="22"/>
              </w:rPr>
            </w:pPr>
            <w:r w:rsidRPr="00E32D2A">
              <w:rPr>
                <w:rFonts w:ascii="Calibri" w:hAnsi="Calibri"/>
                <w:szCs w:val="22"/>
              </w:rPr>
              <w:t xml:space="preserve">Proposed installation of air source heat pump. </w:t>
            </w:r>
          </w:p>
        </w:tc>
      </w:tr>
      <w:tr w:rsidR="002A01CF" w:rsidRPr="00D2449B" w14:paraId="52988241" w14:textId="77777777" w:rsidTr="00C048E8">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160F17C" w:rsidR="002A01CF" w:rsidRPr="00E32D2A" w:rsidRDefault="00E32D2A" w:rsidP="00A42E82">
            <w:pPr>
              <w:rPr>
                <w:rFonts w:ascii="Calibri" w:hAnsi="Calibri"/>
                <w:szCs w:val="22"/>
              </w:rPr>
            </w:pPr>
            <w:r w:rsidRPr="00E32D2A">
              <w:rPr>
                <w:rFonts w:ascii="Calibri" w:hAnsi="Calibri"/>
                <w:szCs w:val="22"/>
              </w:rPr>
              <w:t>8 Windy Street Chipping PR3 2GD</w:t>
            </w:r>
          </w:p>
        </w:tc>
      </w:tr>
      <w:tr w:rsidR="00A95D89" w:rsidRPr="00D2449B" w14:paraId="3FB99B2E" w14:textId="77777777" w:rsidTr="00C048E8">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C048E8">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6784D55" w:rsidR="002A01CF" w:rsidRPr="00227034" w:rsidRDefault="00227034">
            <w:pPr>
              <w:rPr>
                <w:rFonts w:ascii="Calibri" w:hAnsi="Calibri"/>
                <w:bCs/>
                <w:szCs w:val="22"/>
              </w:rPr>
            </w:pPr>
            <w:r w:rsidRPr="00A8230C">
              <w:rPr>
                <w:rFonts w:ascii="Calibri" w:hAnsi="Calibri"/>
                <w:bCs/>
                <w:szCs w:val="22"/>
              </w:rPr>
              <w:t>No comments received.</w:t>
            </w:r>
            <w:r w:rsidRPr="00227034">
              <w:rPr>
                <w:rFonts w:ascii="Calibri" w:hAnsi="Calibri"/>
                <w:bCs/>
                <w:szCs w:val="22"/>
              </w:rPr>
              <w:t xml:space="preserve"> </w:t>
            </w:r>
          </w:p>
        </w:tc>
      </w:tr>
      <w:tr w:rsidR="00C618DB" w:rsidRPr="00D2449B" w14:paraId="639E958B" w14:textId="77777777" w:rsidTr="00C048E8">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048E8">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C048E8">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0F3C11F0" w:rsidR="002A01CF" w:rsidRPr="00D2449B" w:rsidRDefault="00E32D2A">
            <w:pPr>
              <w:rPr>
                <w:rFonts w:ascii="Calibri" w:hAnsi="Calibri"/>
                <w:b/>
                <w:szCs w:val="22"/>
              </w:rPr>
            </w:pPr>
            <w:r w:rsidRPr="00A8230C">
              <w:rPr>
                <w:rFonts w:ascii="Calibri" w:hAnsi="Calibri"/>
                <w:b/>
                <w:szCs w:val="22"/>
              </w:rPr>
              <w:t>RVBC Environmental Health Officer:</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DDC42D5" w:rsidR="002A01CF" w:rsidRPr="00A8230C" w:rsidRDefault="004A2E5D">
            <w:pPr>
              <w:rPr>
                <w:rFonts w:ascii="Calibri" w:hAnsi="Calibri"/>
                <w:bCs/>
                <w:szCs w:val="22"/>
              </w:rPr>
            </w:pPr>
            <w:r>
              <w:rPr>
                <w:rFonts w:ascii="Calibri" w:hAnsi="Calibri"/>
                <w:bCs/>
                <w:szCs w:val="22"/>
              </w:rPr>
              <w:t xml:space="preserve">RVBC EH Officer originally recommended refusal due to the unit being too noisy at the adjacent residential property. The agent for the application has now provided a timber screen and details of noise levels with and without the screen. The EH Officer has removed their objection subject to a condition requiring the enclosure and equipment be maintained in good condition for the lifespan of the development. </w:t>
            </w:r>
          </w:p>
        </w:tc>
      </w:tr>
      <w:tr w:rsidR="00C0704D" w:rsidRPr="00D2449B" w14:paraId="62663AAF"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C048E8">
        <w:trPr>
          <w:jc w:val="center"/>
        </w:trPr>
        <w:tc>
          <w:tcPr>
            <w:tcW w:w="289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A8230C" w:rsidRDefault="00C0704D" w:rsidP="00C618DB">
            <w:pPr>
              <w:rPr>
                <w:rFonts w:ascii="Calibri" w:hAnsi="Calibri"/>
                <w:b/>
                <w:szCs w:val="22"/>
              </w:rPr>
            </w:pPr>
            <w:r w:rsidRPr="00A8230C">
              <w:rPr>
                <w:rFonts w:ascii="Calibri" w:hAnsi="Calibri"/>
                <w:b/>
                <w:szCs w:val="22"/>
              </w:rPr>
              <w:t xml:space="preserve">CONSULTATIONS: </w:t>
            </w:r>
          </w:p>
        </w:tc>
        <w:tc>
          <w:tcPr>
            <w:tcW w:w="701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12DE6B30" w:rsidR="00C0704D" w:rsidRPr="00A8230C" w:rsidRDefault="00C0704D" w:rsidP="00C618DB">
            <w:pPr>
              <w:rPr>
                <w:rFonts w:ascii="Calibri" w:hAnsi="Calibri"/>
                <w:b/>
                <w:szCs w:val="22"/>
              </w:rPr>
            </w:pPr>
            <w:r w:rsidRPr="00A8230C">
              <w:rPr>
                <w:rFonts w:ascii="Calibri" w:hAnsi="Calibri"/>
                <w:b/>
                <w:szCs w:val="22"/>
              </w:rPr>
              <w:t>Additional Representations</w:t>
            </w:r>
          </w:p>
        </w:tc>
      </w:tr>
      <w:tr w:rsidR="00C0704D" w:rsidRPr="00D2449B" w14:paraId="3999C1CA"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0E601C4" w:rsidR="003E5040" w:rsidRPr="00E32D2A" w:rsidRDefault="003E5040" w:rsidP="00E32D2A">
            <w:pPr>
              <w:rPr>
                <w:rFonts w:ascii="Calibri" w:hAnsi="Calibri"/>
                <w:szCs w:val="22"/>
              </w:rPr>
            </w:pPr>
            <w:r w:rsidRPr="00E32D2A">
              <w:rPr>
                <w:rFonts w:ascii="Calibri" w:hAnsi="Calibri"/>
                <w:szCs w:val="22"/>
              </w:rPr>
              <w:t xml:space="preserve"> </w:t>
            </w:r>
            <w:r w:rsidR="00A8230C">
              <w:rPr>
                <w:rFonts w:ascii="Calibri" w:hAnsi="Calibri"/>
                <w:szCs w:val="22"/>
              </w:rPr>
              <w:t xml:space="preserve">No additional representations received. </w:t>
            </w:r>
          </w:p>
        </w:tc>
      </w:tr>
      <w:tr w:rsidR="00C0704D" w:rsidRPr="00D2449B" w14:paraId="1CDFA4C3" w14:textId="77777777" w:rsidTr="00C048E8">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583F7AE5"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sidR="00E32D2A">
              <w:rPr>
                <w:rFonts w:ascii="Calibri" w:hAnsi="Calibri"/>
                <w:szCs w:val="22"/>
              </w:rPr>
              <w:t xml:space="preserve"> </w:t>
            </w:r>
            <w:r w:rsidRPr="00C618DB">
              <w:rPr>
                <w:rFonts w:ascii="Calibri" w:hAnsi="Calibri"/>
                <w:szCs w:val="22"/>
              </w:rPr>
              <w:t>Development Strategy</w:t>
            </w:r>
          </w:p>
          <w:p w14:paraId="07A48EB7" w14:textId="165A8EF1"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sidRPr="00C618DB">
              <w:rPr>
                <w:rFonts w:ascii="Calibri" w:hAnsi="Calibri"/>
                <w:szCs w:val="22"/>
              </w:rPr>
              <w:t>Sustainable Development</w:t>
            </w:r>
          </w:p>
          <w:p w14:paraId="0B8D508C" w14:textId="247A58EA" w:rsidR="00E32D2A" w:rsidRDefault="00E32D2A" w:rsidP="00992C6F">
            <w:pPr>
              <w:pStyle w:val="PLANNING"/>
              <w:rPr>
                <w:rFonts w:ascii="Calibri" w:hAnsi="Calibri"/>
                <w:szCs w:val="22"/>
              </w:rPr>
            </w:pPr>
            <w:r>
              <w:rPr>
                <w:rFonts w:ascii="Calibri" w:hAnsi="Calibri"/>
                <w:szCs w:val="22"/>
              </w:rPr>
              <w:t>Key Statement EN2: Landscape</w:t>
            </w:r>
          </w:p>
          <w:p w14:paraId="3413F624" w14:textId="50780076" w:rsidR="00E32D2A" w:rsidRDefault="00E32D2A" w:rsidP="00992C6F">
            <w:pPr>
              <w:pStyle w:val="PLANNING"/>
              <w:rPr>
                <w:rFonts w:ascii="Calibri" w:hAnsi="Calibri"/>
                <w:szCs w:val="22"/>
              </w:rPr>
            </w:pPr>
            <w:r>
              <w:rPr>
                <w:rFonts w:ascii="Calibri" w:hAnsi="Calibri"/>
                <w:szCs w:val="22"/>
              </w:rPr>
              <w:t>Key Statement EN5: Heritage Assets</w:t>
            </w:r>
          </w:p>
          <w:p w14:paraId="79FB0018" w14:textId="77777777" w:rsidR="00992C6F" w:rsidRPr="00C618DB" w:rsidRDefault="00992C6F" w:rsidP="00992C6F">
            <w:pPr>
              <w:pStyle w:val="PLANNING"/>
              <w:rPr>
                <w:rFonts w:ascii="Calibri" w:hAnsi="Calibri"/>
                <w:szCs w:val="22"/>
              </w:rPr>
            </w:pPr>
          </w:p>
          <w:p w14:paraId="2D3F7EEC" w14:textId="15E47C0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sidR="00E32D2A">
              <w:rPr>
                <w:rFonts w:ascii="Calibri" w:hAnsi="Calibri"/>
                <w:szCs w:val="22"/>
              </w:rPr>
              <w:t xml:space="preserve"> </w:t>
            </w:r>
            <w:r w:rsidRPr="00C618DB">
              <w:rPr>
                <w:rFonts w:ascii="Calibri" w:hAnsi="Calibri"/>
                <w:szCs w:val="22"/>
              </w:rPr>
              <w:t>General Considerations</w:t>
            </w:r>
          </w:p>
          <w:p w14:paraId="77F4F447" w14:textId="5DABAB6B" w:rsidR="00992C6F"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sidR="00E32D2A">
              <w:rPr>
                <w:rFonts w:ascii="Calibri" w:hAnsi="Calibri"/>
                <w:szCs w:val="22"/>
              </w:rPr>
              <w:t xml:space="preserve"> </w:t>
            </w:r>
            <w:r w:rsidRPr="00C618DB">
              <w:rPr>
                <w:rFonts w:ascii="Calibri" w:hAnsi="Calibri"/>
                <w:szCs w:val="22"/>
              </w:rPr>
              <w:t>Strategic Considerations</w:t>
            </w:r>
          </w:p>
          <w:p w14:paraId="422ECA5E" w14:textId="77B833B3" w:rsidR="00E32D2A" w:rsidRPr="00C618DB" w:rsidRDefault="00E32D2A" w:rsidP="00992C6F">
            <w:pPr>
              <w:pStyle w:val="PLANNING"/>
              <w:rPr>
                <w:rFonts w:ascii="Calibri" w:hAnsi="Calibri"/>
                <w:szCs w:val="22"/>
              </w:rPr>
            </w:pPr>
            <w:r>
              <w:rPr>
                <w:rFonts w:ascii="Calibri" w:hAnsi="Calibri"/>
                <w:szCs w:val="22"/>
              </w:rPr>
              <w:t>Policy DME4: Protecting Heritage Assets</w:t>
            </w:r>
          </w:p>
          <w:p w14:paraId="415AD730" w14:textId="1DCCE2B0" w:rsidR="00992C6F"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5:</w:t>
            </w:r>
            <w:r w:rsidR="00E32D2A">
              <w:rPr>
                <w:rFonts w:ascii="Calibri" w:hAnsi="Calibri"/>
                <w:szCs w:val="22"/>
              </w:rPr>
              <w:t xml:space="preserve"> </w:t>
            </w:r>
            <w:r>
              <w:rPr>
                <w:rFonts w:ascii="Calibri" w:hAnsi="Calibri"/>
                <w:szCs w:val="22"/>
              </w:rPr>
              <w:t>Renewable Energy</w:t>
            </w:r>
          </w:p>
          <w:p w14:paraId="6B51A4C0" w14:textId="77777777" w:rsidR="00E32D2A" w:rsidRDefault="00E32D2A" w:rsidP="00992C6F">
            <w:pPr>
              <w:rPr>
                <w:rFonts w:ascii="Calibri" w:hAnsi="Calibri"/>
                <w:szCs w:val="22"/>
              </w:rPr>
            </w:pPr>
          </w:p>
          <w:p w14:paraId="483C72F0" w14:textId="1C402D41" w:rsidR="007452E0" w:rsidRDefault="007452E0" w:rsidP="00992C6F">
            <w:pPr>
              <w:rPr>
                <w:rFonts w:ascii="Calibri" w:hAnsi="Calibri"/>
                <w:szCs w:val="22"/>
              </w:rPr>
            </w:pPr>
            <w:r w:rsidRPr="007452E0">
              <w:rPr>
                <w:rFonts w:ascii="Calibri" w:hAnsi="Calibri"/>
                <w:szCs w:val="22"/>
              </w:rPr>
              <w:t>Planning (Listed Buildings and Conservation Areas) Act</w:t>
            </w:r>
          </w:p>
          <w:p w14:paraId="0A0D49EF" w14:textId="70A454AF"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68316263" w:rsidR="0046548C" w:rsidRPr="00E32D2A" w:rsidRDefault="00E32D2A" w:rsidP="00C0704D">
            <w:pPr>
              <w:pStyle w:val="PLANNING"/>
              <w:rPr>
                <w:rFonts w:ascii="Calibri" w:hAnsi="Calibri"/>
                <w:b/>
                <w:bCs/>
                <w:szCs w:val="22"/>
              </w:rPr>
            </w:pPr>
            <w:r w:rsidRPr="00E32D2A">
              <w:rPr>
                <w:rFonts w:ascii="Calibri" w:hAnsi="Calibri"/>
                <w:b/>
                <w:bCs/>
                <w:szCs w:val="22"/>
              </w:rPr>
              <w:t>3/2010/0522</w:t>
            </w:r>
            <w:r>
              <w:rPr>
                <w:rFonts w:ascii="Calibri" w:hAnsi="Calibri"/>
                <w:b/>
                <w:bCs/>
                <w:szCs w:val="22"/>
              </w:rPr>
              <w:t xml:space="preserve"> </w:t>
            </w:r>
            <w:r>
              <w:rPr>
                <w:rFonts w:ascii="Calibri" w:hAnsi="Calibri"/>
                <w:szCs w:val="22"/>
              </w:rPr>
              <w:t>(8-10 Windy Street)</w:t>
            </w:r>
          </w:p>
          <w:p w14:paraId="78C199AF" w14:textId="31BE49BC" w:rsidR="00E32D2A" w:rsidRDefault="00E32D2A" w:rsidP="00C0704D">
            <w:pPr>
              <w:pStyle w:val="PLANNING"/>
              <w:rPr>
                <w:rFonts w:ascii="Calibri" w:hAnsi="Calibri"/>
                <w:szCs w:val="22"/>
              </w:rPr>
            </w:pPr>
            <w:r w:rsidRPr="00E32D2A">
              <w:rPr>
                <w:rFonts w:ascii="Calibri" w:hAnsi="Calibri"/>
                <w:szCs w:val="22"/>
              </w:rPr>
              <w:t>Application to convert no.10 back to two separate dwellings (nos. 8 and 10 as original).</w:t>
            </w:r>
          </w:p>
          <w:p w14:paraId="45A2E243" w14:textId="1177D4B3" w:rsidR="00E32D2A" w:rsidRPr="00D907AE" w:rsidRDefault="00E32D2A" w:rsidP="00C0704D">
            <w:pPr>
              <w:pStyle w:val="PLANNING"/>
              <w:rPr>
                <w:rFonts w:ascii="Calibri" w:hAnsi="Calibri"/>
                <w:szCs w:val="22"/>
              </w:rPr>
            </w:pPr>
            <w:r>
              <w:rPr>
                <w:rFonts w:ascii="Calibri" w:hAnsi="Calibri"/>
                <w:szCs w:val="22"/>
              </w:rPr>
              <w:t>Approved with Conditions</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C048E8">
        <w:trPr>
          <w:trHeight w:hRule="exact" w:val="170"/>
          <w:jc w:val="center"/>
        </w:trPr>
        <w:tc>
          <w:tcPr>
            <w:tcW w:w="991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3D82577" w14:textId="77777777" w:rsidR="000C6D8F" w:rsidRDefault="009A3018"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comprises a </w:t>
            </w:r>
            <w:r w:rsidR="00D279F3">
              <w:rPr>
                <w:rFonts w:ascii="Calibri" w:hAnsi="Calibri"/>
                <w:bCs/>
                <w:szCs w:val="22"/>
              </w:rPr>
              <w:t>two-storey</w:t>
            </w:r>
            <w:r>
              <w:rPr>
                <w:rFonts w:ascii="Calibri" w:hAnsi="Calibri"/>
                <w:bCs/>
                <w:szCs w:val="22"/>
              </w:rPr>
              <w:t xml:space="preserve"> cottage located within the Tier 2 Village of Chipping.</w:t>
            </w:r>
            <w:r w:rsidR="00D279F3">
              <w:rPr>
                <w:rFonts w:ascii="Calibri" w:hAnsi="Calibri"/>
                <w:bCs/>
                <w:szCs w:val="22"/>
              </w:rPr>
              <w:t xml:space="preserve"> The dwelling is located at the end of terrace and has a small yard area to the rear with </w:t>
            </w:r>
            <w:r w:rsidR="000C6D8F">
              <w:rPr>
                <w:rFonts w:ascii="Calibri" w:hAnsi="Calibri"/>
                <w:bCs/>
                <w:szCs w:val="22"/>
              </w:rPr>
              <w:t xml:space="preserve">a stone wall running along the northern boundary. </w:t>
            </w:r>
          </w:p>
          <w:p w14:paraId="41FC54D6" w14:textId="77777777" w:rsidR="000C6D8F" w:rsidRDefault="000C6D8F" w:rsidP="00B93EB5">
            <w:pPr>
              <w:pStyle w:val="Header"/>
              <w:tabs>
                <w:tab w:val="clear" w:pos="4153"/>
                <w:tab w:val="clear" w:pos="8306"/>
              </w:tabs>
              <w:contextualSpacing/>
              <w:jc w:val="both"/>
              <w:rPr>
                <w:rFonts w:ascii="Calibri" w:hAnsi="Calibri"/>
                <w:bCs/>
                <w:szCs w:val="22"/>
              </w:rPr>
            </w:pPr>
          </w:p>
          <w:p w14:paraId="55BC0157" w14:textId="662203E5" w:rsidR="00C0704D" w:rsidRDefault="009A3018"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is located within the </w:t>
            </w:r>
            <w:r w:rsidR="00D279F3">
              <w:rPr>
                <w:rFonts w:ascii="Calibri" w:hAnsi="Calibri"/>
                <w:bCs/>
                <w:szCs w:val="22"/>
              </w:rPr>
              <w:t>Chipping Conservation Area and is noted within the Appraisal Map as a ‘Building of Townscape Merit’. The site is also located within the Forest of Bowland National Landscape and numbers 8-10 Windy Street adjoin the Grade II Listed Building at no. 12 Windy Street which is a c.1800 three storey dwelling known as ‘The Old Vicarage’.</w:t>
            </w:r>
          </w:p>
          <w:p w14:paraId="62370E9F" w14:textId="2F3D3256" w:rsidR="00D279F3" w:rsidRPr="006C2BFA" w:rsidRDefault="00D279F3"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A88B3CA" w14:textId="1D00CD56" w:rsidR="003D729D" w:rsidRPr="003D729D" w:rsidRDefault="003D729D" w:rsidP="00440CB6">
            <w:pPr>
              <w:pStyle w:val="Header"/>
              <w:tabs>
                <w:tab w:val="clear" w:pos="4153"/>
                <w:tab w:val="clear" w:pos="8306"/>
              </w:tabs>
              <w:jc w:val="both"/>
              <w:rPr>
                <w:rFonts w:ascii="Calibri" w:hAnsi="Calibri"/>
                <w:bCs/>
                <w:szCs w:val="22"/>
              </w:rPr>
            </w:pPr>
            <w:r w:rsidRPr="003D729D">
              <w:rPr>
                <w:rFonts w:ascii="Calibri" w:hAnsi="Calibri"/>
                <w:bCs/>
                <w:szCs w:val="22"/>
              </w:rPr>
              <w:t>Consent is sought for the installation of</w:t>
            </w:r>
            <w:r>
              <w:rPr>
                <w:rFonts w:ascii="Calibri" w:hAnsi="Calibri"/>
                <w:bCs/>
                <w:szCs w:val="22"/>
              </w:rPr>
              <w:t xml:space="preserve"> an</w:t>
            </w:r>
            <w:r w:rsidRPr="003D729D">
              <w:rPr>
                <w:rFonts w:ascii="Calibri" w:hAnsi="Calibri"/>
                <w:bCs/>
                <w:szCs w:val="22"/>
              </w:rPr>
              <w:t xml:space="preserve"> </w:t>
            </w:r>
            <w:r w:rsidR="000C6D8F">
              <w:rPr>
                <w:rFonts w:ascii="Calibri" w:hAnsi="Calibri"/>
                <w:bCs/>
                <w:szCs w:val="22"/>
              </w:rPr>
              <w:t>Air Source Heat Pump (ASHP)</w:t>
            </w:r>
            <w:r w:rsidRPr="003D729D">
              <w:rPr>
                <w:rFonts w:ascii="Calibri" w:hAnsi="Calibri"/>
                <w:bCs/>
                <w:szCs w:val="22"/>
              </w:rPr>
              <w:t xml:space="preserve"> within the residential curtilage of the application dwelling. </w:t>
            </w:r>
            <w:r w:rsidR="000C6D8F">
              <w:rPr>
                <w:rFonts w:ascii="Calibri" w:hAnsi="Calibri"/>
                <w:bCs/>
                <w:szCs w:val="22"/>
              </w:rPr>
              <w:t>The proposed ASHP would be sited adjacent to the northern boundary, between the rear wall of the property and the existing shed</w:t>
            </w:r>
            <w:r w:rsidR="00A8113A">
              <w:rPr>
                <w:rFonts w:ascii="Calibri" w:hAnsi="Calibri"/>
                <w:bCs/>
                <w:szCs w:val="22"/>
              </w:rPr>
              <w:t xml:space="preserve"> and would be approximately 0.8m x 1.2m x 0.4m in size. In addition, the model of the ASHP would be a Global Energy Systems </w:t>
            </w:r>
            <w:r w:rsidR="00A8113A" w:rsidRPr="00A8113A">
              <w:rPr>
                <w:rFonts w:ascii="Calibri" w:hAnsi="Calibri"/>
                <w:bCs/>
                <w:szCs w:val="22"/>
              </w:rPr>
              <w:t>Rothesay</w:t>
            </w:r>
            <w:r w:rsidR="00A8113A">
              <w:rPr>
                <w:rFonts w:ascii="Calibri" w:hAnsi="Calibri"/>
                <w:bCs/>
                <w:szCs w:val="22"/>
              </w:rPr>
              <w:t xml:space="preserve"> model. </w:t>
            </w:r>
            <w:r w:rsidR="004A2E5D">
              <w:rPr>
                <w:rFonts w:ascii="Calibri" w:hAnsi="Calibri"/>
                <w:bCs/>
                <w:szCs w:val="22"/>
              </w:rPr>
              <w:t>A timber screen has now been provided to the front and side elevations of the proposed ASHP following comments from the Environmental Health Officer.</w:t>
            </w:r>
          </w:p>
          <w:p w14:paraId="1B20488F" w14:textId="77777777" w:rsidR="00C0704D" w:rsidRPr="00D54E67" w:rsidRDefault="00C0704D" w:rsidP="002F2580">
            <w:pPr>
              <w:rPr>
                <w:rFonts w:ascii="Calibri" w:hAnsi="Calibri"/>
                <w:szCs w:val="22"/>
              </w:rPr>
            </w:pPr>
          </w:p>
        </w:tc>
      </w:tr>
      <w:tr w:rsidR="0046548C" w:rsidRPr="00D2449B" w14:paraId="06BBE02F"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5BF5CB71" w14:textId="4BC97055" w:rsidR="007D7329" w:rsidRDefault="007D7329" w:rsidP="007D7329">
            <w:pPr>
              <w:pStyle w:val="Header"/>
              <w:tabs>
                <w:tab w:val="clear" w:pos="4153"/>
                <w:tab w:val="clear" w:pos="8306"/>
              </w:tabs>
              <w:contextualSpacing/>
              <w:jc w:val="both"/>
              <w:rPr>
                <w:rFonts w:ascii="Calibri" w:hAnsi="Calibri"/>
                <w:bCs/>
                <w:szCs w:val="22"/>
              </w:rPr>
            </w:pPr>
            <w:r w:rsidRPr="00A8230C">
              <w:rPr>
                <w:rFonts w:ascii="Calibri" w:hAnsi="Calibri"/>
                <w:bCs/>
                <w:szCs w:val="22"/>
              </w:rPr>
              <w:t xml:space="preserve">The proposed works relate to a small scale domestic renewable energy proposal. Domestic air source heat pumps can </w:t>
            </w:r>
            <w:r w:rsidR="00A8230C" w:rsidRPr="00A8230C">
              <w:rPr>
                <w:rFonts w:ascii="Calibri" w:hAnsi="Calibri"/>
                <w:bCs/>
                <w:szCs w:val="22"/>
              </w:rPr>
              <w:t xml:space="preserve">usually </w:t>
            </w:r>
            <w:r w:rsidRPr="00A8230C">
              <w:rPr>
                <w:rFonts w:ascii="Calibri" w:hAnsi="Calibri"/>
                <w:bCs/>
                <w:szCs w:val="22"/>
              </w:rPr>
              <w:t>be installed under Permitted Development subject to limitations. In this instance, the proposed air source heat pump would exceed these limitations and as such requires planning consent from a technical perspective.</w:t>
            </w:r>
          </w:p>
          <w:p w14:paraId="35FD92CE" w14:textId="77777777" w:rsidR="007D7329" w:rsidRDefault="007D7329" w:rsidP="008542DE">
            <w:pPr>
              <w:pStyle w:val="Header"/>
              <w:tabs>
                <w:tab w:val="clear" w:pos="4153"/>
                <w:tab w:val="clear" w:pos="8306"/>
              </w:tabs>
              <w:contextualSpacing/>
              <w:jc w:val="both"/>
              <w:rPr>
                <w:rFonts w:ascii="Calibri" w:hAnsi="Calibri"/>
                <w:b/>
                <w:szCs w:val="22"/>
              </w:rPr>
            </w:pPr>
          </w:p>
          <w:p w14:paraId="533AF7BC" w14:textId="77777777" w:rsidR="007D7329" w:rsidRDefault="007D7329" w:rsidP="007D7329">
            <w:pPr>
              <w:pStyle w:val="Header"/>
              <w:tabs>
                <w:tab w:val="left" w:pos="720"/>
              </w:tabs>
              <w:jc w:val="both"/>
              <w:rPr>
                <w:rFonts w:ascii="Calibri" w:hAnsi="Calibri"/>
                <w:bCs/>
                <w:szCs w:val="22"/>
              </w:rPr>
            </w:pPr>
            <w:r>
              <w:rPr>
                <w:rFonts w:ascii="Calibri" w:hAnsi="Calibri"/>
                <w:bCs/>
                <w:szCs w:val="22"/>
              </w:rPr>
              <w:t xml:space="preserve">Policy DME5 of the Ribble Valley Core Strategy states: </w:t>
            </w:r>
          </w:p>
          <w:p w14:paraId="183EB79F" w14:textId="77777777" w:rsidR="007D7329" w:rsidRDefault="007D7329" w:rsidP="007D7329">
            <w:pPr>
              <w:pStyle w:val="Header"/>
              <w:tabs>
                <w:tab w:val="left" w:pos="720"/>
              </w:tabs>
              <w:jc w:val="both"/>
              <w:rPr>
                <w:rFonts w:ascii="Calibri" w:hAnsi="Calibri"/>
                <w:bCs/>
                <w:szCs w:val="22"/>
              </w:rPr>
            </w:pPr>
          </w:p>
          <w:p w14:paraId="39171DD0" w14:textId="77777777" w:rsidR="007D7329" w:rsidRDefault="007D7329" w:rsidP="007D7329">
            <w:pPr>
              <w:pStyle w:val="Header"/>
              <w:tabs>
                <w:tab w:val="left" w:pos="720"/>
              </w:tabs>
              <w:jc w:val="both"/>
              <w:rPr>
                <w:rFonts w:ascii="Calibri" w:hAnsi="Calibri"/>
                <w:bCs/>
                <w:i/>
                <w:iCs/>
                <w:szCs w:val="22"/>
              </w:rPr>
            </w:pPr>
            <w:r>
              <w:rPr>
                <w:rFonts w:ascii="Calibri" w:hAnsi="Calibri"/>
                <w:bCs/>
                <w:szCs w:val="22"/>
              </w:rPr>
              <w:t>‘</w:t>
            </w:r>
            <w:r>
              <w:rPr>
                <w:rFonts w:ascii="Calibri" w:hAnsi="Calibri"/>
                <w:bCs/>
                <w:i/>
                <w:iCs/>
                <w:szCs w:val="22"/>
              </w:rPr>
              <w:t xml:space="preserve">The Borough Council will support the development of renewable energy schemes, providing it can be shown that such developments would not cause unacceptable harm to the local environment or local amenity… it is important that renewable energy is facilitated in a way that protects the quality of the local area yet recognises the need to support climate change adaption’. </w:t>
            </w:r>
          </w:p>
          <w:p w14:paraId="46DF803D" w14:textId="77777777" w:rsidR="007D7329" w:rsidRDefault="007D7329" w:rsidP="007D7329">
            <w:pPr>
              <w:pStyle w:val="Header"/>
              <w:tabs>
                <w:tab w:val="left" w:pos="720"/>
              </w:tabs>
              <w:jc w:val="both"/>
              <w:rPr>
                <w:rFonts w:ascii="Calibri" w:hAnsi="Calibri"/>
                <w:bCs/>
                <w:i/>
                <w:iCs/>
                <w:szCs w:val="22"/>
              </w:rPr>
            </w:pPr>
          </w:p>
          <w:p w14:paraId="00E61670" w14:textId="74FEFFC4" w:rsidR="007D7329" w:rsidRDefault="007D7329" w:rsidP="007D7329">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the proposed air source heat pump would be acceptable in principle subject to the development complying wholly with other relevant polices within the Core Strategy. </w:t>
            </w:r>
          </w:p>
          <w:p w14:paraId="6A239FD1" w14:textId="77777777" w:rsidR="007452E0" w:rsidRDefault="007452E0" w:rsidP="007D7329">
            <w:pPr>
              <w:pStyle w:val="Header"/>
              <w:tabs>
                <w:tab w:val="clear" w:pos="4153"/>
                <w:tab w:val="clear" w:pos="8306"/>
              </w:tabs>
              <w:contextualSpacing/>
              <w:jc w:val="both"/>
              <w:rPr>
                <w:rFonts w:ascii="Calibri" w:hAnsi="Calibri"/>
                <w:bCs/>
                <w:szCs w:val="22"/>
              </w:rPr>
            </w:pPr>
          </w:p>
          <w:p w14:paraId="0965E646" w14:textId="212D1950" w:rsidR="007452E0" w:rsidRPr="007452E0" w:rsidRDefault="007452E0" w:rsidP="007452E0">
            <w:pPr>
              <w:pStyle w:val="Header"/>
              <w:tabs>
                <w:tab w:val="clear" w:pos="4153"/>
                <w:tab w:val="clear" w:pos="8306"/>
              </w:tabs>
              <w:contextualSpacing/>
              <w:rPr>
                <w:rFonts w:ascii="Calibri" w:hAnsi="Calibri"/>
                <w:bCs/>
                <w:szCs w:val="22"/>
              </w:rPr>
            </w:pPr>
            <w:r w:rsidRPr="007452E0">
              <w:rPr>
                <w:rFonts w:ascii="Calibri" w:hAnsi="Calibri"/>
                <w:bCs/>
                <w:szCs w:val="22"/>
              </w:rPr>
              <w:t xml:space="preserve">The site is also situated within the designated Chipping Conservation Area and </w:t>
            </w:r>
            <w:r>
              <w:rPr>
                <w:rFonts w:ascii="Calibri" w:hAnsi="Calibri"/>
                <w:bCs/>
                <w:szCs w:val="22"/>
              </w:rPr>
              <w:t xml:space="preserve">Forest of Bowland </w:t>
            </w:r>
            <w:r w:rsidRPr="007452E0">
              <w:rPr>
                <w:rFonts w:ascii="Calibri" w:hAnsi="Calibri"/>
                <w:bCs/>
                <w:szCs w:val="22"/>
              </w:rPr>
              <w:t>National Landscape, and therefore additional</w:t>
            </w:r>
            <w:r>
              <w:rPr>
                <w:rFonts w:ascii="Calibri" w:hAnsi="Calibri"/>
                <w:bCs/>
                <w:szCs w:val="22"/>
              </w:rPr>
              <w:t xml:space="preserve"> </w:t>
            </w:r>
            <w:r w:rsidRPr="007452E0">
              <w:rPr>
                <w:rFonts w:ascii="Calibri" w:hAnsi="Calibri"/>
                <w:bCs/>
                <w:szCs w:val="22"/>
              </w:rPr>
              <w:t xml:space="preserve">consideration </w:t>
            </w:r>
            <w:r>
              <w:rPr>
                <w:rFonts w:ascii="Calibri" w:hAnsi="Calibri"/>
                <w:bCs/>
                <w:szCs w:val="22"/>
              </w:rPr>
              <w:t xml:space="preserve">must be given </w:t>
            </w:r>
            <w:r w:rsidRPr="007452E0">
              <w:rPr>
                <w:rFonts w:ascii="Calibri" w:hAnsi="Calibri"/>
                <w:bCs/>
                <w:szCs w:val="22"/>
              </w:rPr>
              <w:t xml:space="preserve">to the impact of the proposed development upon the historic importance and visual amenities of the surrounding landscape. </w:t>
            </w:r>
          </w:p>
          <w:p w14:paraId="07A958AF" w14:textId="40589B73" w:rsidR="007D7329" w:rsidRDefault="007D7329" w:rsidP="007D7329">
            <w:pPr>
              <w:pStyle w:val="Header"/>
              <w:tabs>
                <w:tab w:val="clear" w:pos="4153"/>
                <w:tab w:val="clear" w:pos="8306"/>
              </w:tabs>
              <w:contextualSpacing/>
              <w:jc w:val="both"/>
              <w:rPr>
                <w:rFonts w:ascii="Calibri" w:hAnsi="Calibri"/>
                <w:b/>
                <w:szCs w:val="22"/>
              </w:rPr>
            </w:pPr>
          </w:p>
        </w:tc>
      </w:tr>
      <w:tr w:rsidR="00C0704D" w:rsidRPr="00D2449B" w14:paraId="617768FF"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4A2E5D" w:rsidRDefault="00C0704D" w:rsidP="00EA09F9">
            <w:pPr>
              <w:pStyle w:val="Header"/>
              <w:tabs>
                <w:tab w:val="clear" w:pos="4153"/>
                <w:tab w:val="clear" w:pos="8306"/>
              </w:tabs>
              <w:contextualSpacing/>
              <w:jc w:val="both"/>
              <w:rPr>
                <w:rFonts w:ascii="Calibri" w:hAnsi="Calibri"/>
                <w:b/>
                <w:szCs w:val="22"/>
              </w:rPr>
            </w:pPr>
            <w:r w:rsidRPr="004A2E5D">
              <w:rPr>
                <w:rFonts w:ascii="Calibri" w:hAnsi="Calibri"/>
                <w:b/>
                <w:szCs w:val="22"/>
              </w:rPr>
              <w:t>Impact Upon Residential Amenity:</w:t>
            </w:r>
          </w:p>
          <w:p w14:paraId="520B11BE" w14:textId="77777777" w:rsidR="00C0704D" w:rsidRPr="004A2E5D" w:rsidRDefault="00C0704D" w:rsidP="00EA09F9">
            <w:pPr>
              <w:pStyle w:val="Header"/>
              <w:tabs>
                <w:tab w:val="clear" w:pos="4153"/>
                <w:tab w:val="clear" w:pos="8306"/>
              </w:tabs>
              <w:contextualSpacing/>
              <w:jc w:val="both"/>
              <w:rPr>
                <w:rFonts w:ascii="Calibri" w:hAnsi="Calibri"/>
                <w:b/>
                <w:szCs w:val="22"/>
              </w:rPr>
            </w:pPr>
          </w:p>
          <w:p w14:paraId="346161B0" w14:textId="4162FA34" w:rsidR="007D7329" w:rsidRPr="004A2E5D" w:rsidRDefault="007D7329" w:rsidP="007D7329">
            <w:pPr>
              <w:rPr>
                <w:rFonts w:ascii="Calibri" w:hAnsi="Calibri"/>
                <w:szCs w:val="22"/>
              </w:rPr>
            </w:pPr>
            <w:r w:rsidRPr="004A2E5D">
              <w:rPr>
                <w:rFonts w:ascii="Calibri" w:hAnsi="Calibri"/>
                <w:szCs w:val="22"/>
              </w:rPr>
              <w:t>Paragraph 1</w:t>
            </w:r>
            <w:r w:rsidR="00C048E8" w:rsidRPr="004A2E5D">
              <w:rPr>
                <w:rFonts w:ascii="Calibri" w:hAnsi="Calibri"/>
                <w:szCs w:val="22"/>
              </w:rPr>
              <w:t>9</w:t>
            </w:r>
            <w:r w:rsidR="007452E0" w:rsidRPr="004A2E5D">
              <w:rPr>
                <w:rFonts w:ascii="Calibri" w:hAnsi="Calibri"/>
                <w:szCs w:val="22"/>
              </w:rPr>
              <w:t>8</w:t>
            </w:r>
            <w:r w:rsidR="00C048E8" w:rsidRPr="004A2E5D">
              <w:rPr>
                <w:rFonts w:ascii="Calibri" w:hAnsi="Calibri"/>
                <w:szCs w:val="22"/>
              </w:rPr>
              <w:t xml:space="preserve"> </w:t>
            </w:r>
            <w:r w:rsidRPr="004A2E5D">
              <w:rPr>
                <w:rFonts w:ascii="Calibri" w:hAnsi="Calibri"/>
                <w:szCs w:val="22"/>
              </w:rPr>
              <w:t>of the National Planning Policy Framework states:</w:t>
            </w:r>
          </w:p>
          <w:p w14:paraId="16ED64B9" w14:textId="77777777" w:rsidR="007D7329" w:rsidRPr="004A2E5D" w:rsidRDefault="007D7329" w:rsidP="007D7329">
            <w:pPr>
              <w:rPr>
                <w:rFonts w:ascii="Calibri" w:hAnsi="Calibri"/>
                <w:szCs w:val="22"/>
              </w:rPr>
            </w:pPr>
          </w:p>
          <w:p w14:paraId="2C3DC122" w14:textId="77777777" w:rsidR="007D7329" w:rsidRPr="004A2E5D" w:rsidRDefault="007D7329" w:rsidP="007D7329">
            <w:pPr>
              <w:rPr>
                <w:rFonts w:ascii="Calibri" w:hAnsi="Calibri"/>
                <w:i/>
                <w:iCs/>
                <w:szCs w:val="22"/>
              </w:rPr>
            </w:pPr>
            <w:r w:rsidRPr="004A2E5D">
              <w:rPr>
                <w:rFonts w:ascii="Calibri" w:hAnsi="Calibri"/>
                <w:i/>
                <w:iCs/>
                <w:szCs w:val="22"/>
              </w:rPr>
              <w:t>‘Planning policies and decisions should also ensure that new development is appropriate for its location taking into account the likely effects (including cumulative effects) of pollution on health, living conditions and the natural environment, as well as the potential sensitivity of the site or the wider area to impacts that could arise from the development…in doing so they should mitigate and reduce to a minimum potential adverse impacts resulting from noise from new development – and avoid noise giving rise to significant adverse impacts on health and the quality of life.’</w:t>
            </w:r>
          </w:p>
          <w:p w14:paraId="14A87B65" w14:textId="77777777" w:rsidR="007D7329" w:rsidRPr="005459BC" w:rsidRDefault="007D7329" w:rsidP="007D7329">
            <w:pPr>
              <w:rPr>
                <w:rFonts w:ascii="Calibri" w:hAnsi="Calibri"/>
                <w:szCs w:val="22"/>
                <w:highlight w:val="yellow"/>
              </w:rPr>
            </w:pPr>
          </w:p>
          <w:p w14:paraId="1E92A10C" w14:textId="77777777" w:rsidR="007D7329" w:rsidRPr="004A2E5D" w:rsidRDefault="007D7329" w:rsidP="007D7329">
            <w:pPr>
              <w:rPr>
                <w:rFonts w:ascii="Calibri" w:hAnsi="Calibri"/>
                <w:bCs/>
                <w:szCs w:val="22"/>
              </w:rPr>
            </w:pPr>
            <w:r w:rsidRPr="004A2E5D">
              <w:rPr>
                <w:rFonts w:ascii="Calibri" w:hAnsi="Calibri"/>
                <w:szCs w:val="22"/>
              </w:rPr>
              <w:t xml:space="preserve">Furthermore, Policy DMG1 of the Core Strategy requires all proposals for development to </w:t>
            </w:r>
            <w:r w:rsidRPr="004A2E5D">
              <w:rPr>
                <w:rFonts w:ascii="Calibri" w:hAnsi="Calibri"/>
                <w:bCs/>
                <w:szCs w:val="22"/>
              </w:rPr>
              <w:t>consider the effects of development upon existing amenities.</w:t>
            </w:r>
          </w:p>
          <w:p w14:paraId="020CF7EE" w14:textId="77777777" w:rsidR="00E55423" w:rsidRPr="004A2E5D" w:rsidRDefault="00E55423" w:rsidP="007D7329">
            <w:pPr>
              <w:rPr>
                <w:rFonts w:ascii="Calibri" w:hAnsi="Calibri"/>
                <w:bCs/>
                <w:szCs w:val="22"/>
              </w:rPr>
            </w:pPr>
          </w:p>
          <w:p w14:paraId="0E1041FC" w14:textId="4CC57600" w:rsidR="005D5FBE" w:rsidRPr="004A2E5D" w:rsidRDefault="00E55423" w:rsidP="007D7329">
            <w:pPr>
              <w:rPr>
                <w:rFonts w:ascii="Calibri" w:hAnsi="Calibri"/>
                <w:bCs/>
                <w:szCs w:val="22"/>
              </w:rPr>
            </w:pPr>
            <w:r w:rsidRPr="004A2E5D">
              <w:rPr>
                <w:rFonts w:ascii="Calibri" w:hAnsi="Calibri"/>
                <w:bCs/>
                <w:szCs w:val="22"/>
              </w:rPr>
              <w:t xml:space="preserve">The </w:t>
            </w:r>
            <w:r w:rsidR="00F9338D" w:rsidRPr="004A2E5D">
              <w:rPr>
                <w:rFonts w:ascii="Calibri" w:hAnsi="Calibri"/>
                <w:bCs/>
                <w:szCs w:val="22"/>
              </w:rPr>
              <w:t>proposed</w:t>
            </w:r>
            <w:r w:rsidRPr="004A2E5D">
              <w:rPr>
                <w:rFonts w:ascii="Calibri" w:hAnsi="Calibri"/>
                <w:bCs/>
                <w:szCs w:val="22"/>
              </w:rPr>
              <w:t xml:space="preserve"> ASHP is </w:t>
            </w:r>
            <w:r w:rsidR="00F9338D" w:rsidRPr="004A2E5D">
              <w:rPr>
                <w:rFonts w:ascii="Calibri" w:hAnsi="Calibri"/>
                <w:bCs/>
                <w:szCs w:val="22"/>
              </w:rPr>
              <w:t>to</w:t>
            </w:r>
            <w:r w:rsidRPr="004A2E5D">
              <w:rPr>
                <w:rFonts w:ascii="Calibri" w:hAnsi="Calibri"/>
                <w:bCs/>
                <w:szCs w:val="22"/>
              </w:rPr>
              <w:t xml:space="preserve"> be </w:t>
            </w:r>
            <w:r w:rsidR="00F9338D" w:rsidRPr="004A2E5D">
              <w:rPr>
                <w:rFonts w:ascii="Calibri" w:hAnsi="Calibri"/>
                <w:bCs/>
                <w:szCs w:val="22"/>
              </w:rPr>
              <w:t>located</w:t>
            </w:r>
            <w:r w:rsidRPr="004A2E5D">
              <w:rPr>
                <w:rFonts w:ascii="Calibri" w:hAnsi="Calibri"/>
                <w:bCs/>
                <w:szCs w:val="22"/>
              </w:rPr>
              <w:t xml:space="preserve"> to the </w:t>
            </w:r>
            <w:r w:rsidR="007452E0" w:rsidRPr="004A2E5D">
              <w:rPr>
                <w:rFonts w:ascii="Calibri" w:hAnsi="Calibri"/>
                <w:bCs/>
                <w:szCs w:val="22"/>
              </w:rPr>
              <w:t xml:space="preserve">north </w:t>
            </w:r>
            <w:r w:rsidRPr="004A2E5D">
              <w:rPr>
                <w:rFonts w:ascii="Calibri" w:hAnsi="Calibri"/>
                <w:bCs/>
                <w:szCs w:val="22"/>
              </w:rPr>
              <w:t xml:space="preserve">of the application dwelling approximately </w:t>
            </w:r>
            <w:r w:rsidR="007452E0" w:rsidRPr="004A2E5D">
              <w:rPr>
                <w:rFonts w:ascii="Calibri" w:hAnsi="Calibri"/>
                <w:bCs/>
                <w:szCs w:val="22"/>
              </w:rPr>
              <w:t>4.1</w:t>
            </w:r>
            <w:r w:rsidRPr="004A2E5D">
              <w:rPr>
                <w:rFonts w:ascii="Calibri" w:hAnsi="Calibri"/>
                <w:bCs/>
                <w:szCs w:val="22"/>
              </w:rPr>
              <w:t xml:space="preserve"> metres from the adjoining boundary with</w:t>
            </w:r>
            <w:r w:rsidR="007452E0" w:rsidRPr="004A2E5D">
              <w:rPr>
                <w:rFonts w:ascii="Calibri" w:hAnsi="Calibri"/>
                <w:bCs/>
                <w:szCs w:val="22"/>
              </w:rPr>
              <w:t xml:space="preserve"> number 10 Windy Street</w:t>
            </w:r>
            <w:r w:rsidRPr="004A2E5D">
              <w:rPr>
                <w:rFonts w:ascii="Calibri" w:hAnsi="Calibri"/>
                <w:bCs/>
                <w:szCs w:val="22"/>
              </w:rPr>
              <w:t xml:space="preserve">. </w:t>
            </w:r>
            <w:r w:rsidR="007452E0" w:rsidRPr="004A2E5D">
              <w:rPr>
                <w:rFonts w:ascii="Calibri" w:hAnsi="Calibri"/>
                <w:bCs/>
                <w:szCs w:val="22"/>
              </w:rPr>
              <w:t>The submitted information has provided a calculation spreadsheet which suggests that the proposed ASHP would have a projected sound power level of 40.4</w:t>
            </w:r>
            <w:r w:rsidRPr="004A2E5D">
              <w:rPr>
                <w:rFonts w:ascii="Calibri" w:hAnsi="Calibri"/>
                <w:bCs/>
                <w:szCs w:val="22"/>
              </w:rPr>
              <w:t xml:space="preserve"> dBA measure</w:t>
            </w:r>
            <w:r w:rsidR="00F9338D" w:rsidRPr="004A2E5D">
              <w:rPr>
                <w:rFonts w:ascii="Calibri" w:hAnsi="Calibri"/>
                <w:bCs/>
                <w:szCs w:val="22"/>
              </w:rPr>
              <w:t>d</w:t>
            </w:r>
            <w:r w:rsidRPr="004A2E5D">
              <w:rPr>
                <w:rFonts w:ascii="Calibri" w:hAnsi="Calibri"/>
                <w:bCs/>
                <w:szCs w:val="22"/>
              </w:rPr>
              <w:t xml:space="preserve"> at </w:t>
            </w:r>
            <w:r w:rsidR="007452E0" w:rsidRPr="004A2E5D">
              <w:rPr>
                <w:rFonts w:ascii="Calibri" w:hAnsi="Calibri"/>
                <w:bCs/>
                <w:szCs w:val="22"/>
              </w:rPr>
              <w:t>5.58m from the closest neighbouring property window</w:t>
            </w:r>
            <w:r w:rsidRPr="004A2E5D">
              <w:rPr>
                <w:rFonts w:ascii="Calibri" w:hAnsi="Calibri"/>
                <w:bCs/>
                <w:szCs w:val="22"/>
              </w:rPr>
              <w:t>.</w:t>
            </w:r>
            <w:r w:rsidR="00217F8A" w:rsidRPr="004A2E5D">
              <w:rPr>
                <w:rFonts w:ascii="Calibri" w:hAnsi="Calibri"/>
                <w:bCs/>
                <w:szCs w:val="22"/>
              </w:rPr>
              <w:t xml:space="preserve"> The Environmental Health Officer has been consulted on the application and recommend</w:t>
            </w:r>
            <w:r w:rsidR="004A2E5D" w:rsidRPr="004A2E5D">
              <w:rPr>
                <w:rFonts w:ascii="Calibri" w:hAnsi="Calibri"/>
                <w:bCs/>
                <w:szCs w:val="22"/>
              </w:rPr>
              <w:t xml:space="preserve">ed </w:t>
            </w:r>
            <w:r w:rsidR="00217F8A" w:rsidRPr="004A2E5D">
              <w:rPr>
                <w:rFonts w:ascii="Calibri" w:hAnsi="Calibri"/>
                <w:bCs/>
                <w:szCs w:val="22"/>
              </w:rPr>
              <w:t xml:space="preserve">refusal of the application. When running the calculations using the MCS 20 methodology, the Environmental Health Officer </w:t>
            </w:r>
            <w:r w:rsidR="004A2E5D" w:rsidRPr="004A2E5D">
              <w:rPr>
                <w:rFonts w:ascii="Calibri" w:hAnsi="Calibri"/>
                <w:bCs/>
                <w:szCs w:val="22"/>
              </w:rPr>
              <w:t xml:space="preserve">calculated a </w:t>
            </w:r>
            <w:r w:rsidR="00217F8A" w:rsidRPr="004A2E5D">
              <w:rPr>
                <w:rFonts w:ascii="Calibri" w:hAnsi="Calibri"/>
                <w:bCs/>
                <w:szCs w:val="22"/>
              </w:rPr>
              <w:t>different result to the applicant at 44.1 dBA which</w:t>
            </w:r>
            <w:r w:rsidR="004A2E5D" w:rsidRPr="004A2E5D">
              <w:rPr>
                <w:rFonts w:ascii="Calibri" w:hAnsi="Calibri"/>
                <w:bCs/>
                <w:szCs w:val="22"/>
              </w:rPr>
              <w:t xml:space="preserve"> was considered to result in</w:t>
            </w:r>
            <w:r w:rsidR="00217F8A" w:rsidRPr="004A2E5D">
              <w:rPr>
                <w:rFonts w:ascii="Calibri" w:hAnsi="Calibri"/>
                <w:bCs/>
                <w:szCs w:val="22"/>
              </w:rPr>
              <w:t xml:space="preserve"> an unacceptable level of noise disturbance at the neighbouring property. </w:t>
            </w:r>
          </w:p>
          <w:p w14:paraId="2F953AAE" w14:textId="77777777" w:rsidR="004A2E5D" w:rsidRPr="004A2E5D" w:rsidRDefault="004A2E5D" w:rsidP="007D7329">
            <w:pPr>
              <w:rPr>
                <w:rFonts w:ascii="Calibri" w:hAnsi="Calibri"/>
                <w:bCs/>
                <w:szCs w:val="22"/>
              </w:rPr>
            </w:pPr>
          </w:p>
          <w:p w14:paraId="5D83702C" w14:textId="787E80F6" w:rsidR="004A2E5D" w:rsidRPr="004A2E5D" w:rsidRDefault="004A2E5D" w:rsidP="004A2E5D">
            <w:pPr>
              <w:rPr>
                <w:rFonts w:ascii="Calibri" w:hAnsi="Calibri"/>
                <w:bCs/>
                <w:szCs w:val="22"/>
              </w:rPr>
            </w:pPr>
            <w:r w:rsidRPr="004A2E5D">
              <w:rPr>
                <w:rFonts w:ascii="Calibri" w:hAnsi="Calibri"/>
                <w:bCs/>
                <w:szCs w:val="22"/>
              </w:rPr>
              <w:t>The applicant has now provided a timber screen adjacent to the ASHP and has provided calculations showing the noise levels at certain distances. This shows at the boundary with the adjoining property, the noise levels would be 35.1dB which the Environmental Health Officer considers to be acceptable. They recommend a condition that the noise levels shall not exceed this reading at the façade of the nearest residential property as per the submitted details. They also recommend the timber screen be retained and maintained for the lifespan of the development.</w:t>
            </w:r>
          </w:p>
          <w:p w14:paraId="602BBB07" w14:textId="77777777" w:rsidR="004A2E5D" w:rsidRPr="004A2E5D" w:rsidRDefault="004A2E5D" w:rsidP="004A2E5D">
            <w:pPr>
              <w:rPr>
                <w:rFonts w:ascii="Calibri" w:hAnsi="Calibri"/>
                <w:bCs/>
                <w:szCs w:val="22"/>
              </w:rPr>
            </w:pPr>
          </w:p>
          <w:p w14:paraId="1F33CDB7" w14:textId="01AD8064" w:rsidR="00E55423" w:rsidRPr="004A2E5D" w:rsidRDefault="004A2E5D" w:rsidP="007D7329">
            <w:pPr>
              <w:rPr>
                <w:rFonts w:ascii="Calibri" w:hAnsi="Calibri"/>
                <w:szCs w:val="22"/>
              </w:rPr>
            </w:pPr>
            <w:r w:rsidRPr="004A2E5D">
              <w:rPr>
                <w:rFonts w:ascii="Calibri" w:hAnsi="Calibri"/>
                <w:bCs/>
                <w:szCs w:val="22"/>
              </w:rPr>
              <w:t xml:space="preserve">Subject to the above, the proposal accords with </w:t>
            </w:r>
            <w:r w:rsidR="00F9338D" w:rsidRPr="004A2E5D">
              <w:rPr>
                <w:rFonts w:ascii="Calibri" w:hAnsi="Calibri"/>
                <w:bCs/>
                <w:szCs w:val="22"/>
              </w:rPr>
              <w:t xml:space="preserve">Policy DMG1 and </w:t>
            </w:r>
            <w:r w:rsidR="005D5FBE" w:rsidRPr="004A2E5D">
              <w:rPr>
                <w:rFonts w:ascii="Calibri" w:hAnsi="Calibri"/>
                <w:bCs/>
                <w:szCs w:val="22"/>
              </w:rPr>
              <w:t>paragraph</w:t>
            </w:r>
            <w:r w:rsidR="00F9338D" w:rsidRPr="004A2E5D">
              <w:rPr>
                <w:rFonts w:ascii="Calibri" w:hAnsi="Calibri"/>
                <w:bCs/>
                <w:szCs w:val="22"/>
              </w:rPr>
              <w:t xml:space="preserve"> 1</w:t>
            </w:r>
            <w:r w:rsidR="00C048E8" w:rsidRPr="004A2E5D">
              <w:rPr>
                <w:rFonts w:ascii="Calibri" w:hAnsi="Calibri"/>
                <w:bCs/>
                <w:szCs w:val="22"/>
              </w:rPr>
              <w:t>9</w:t>
            </w:r>
            <w:r w:rsidR="00217F8A" w:rsidRPr="004A2E5D">
              <w:rPr>
                <w:rFonts w:ascii="Calibri" w:hAnsi="Calibri"/>
                <w:bCs/>
                <w:szCs w:val="22"/>
              </w:rPr>
              <w:t>8</w:t>
            </w:r>
            <w:r w:rsidR="00F9338D" w:rsidRPr="004A2E5D">
              <w:rPr>
                <w:rFonts w:ascii="Calibri" w:hAnsi="Calibri"/>
                <w:bCs/>
                <w:szCs w:val="22"/>
              </w:rPr>
              <w:t xml:space="preserve"> of the NPPF. </w:t>
            </w:r>
          </w:p>
          <w:p w14:paraId="0DB485A3" w14:textId="7A38FB2F" w:rsidR="00ED00B7" w:rsidRPr="005459BC" w:rsidRDefault="00ED00B7" w:rsidP="00C0704D">
            <w:pPr>
              <w:contextualSpacing/>
              <w:rPr>
                <w:rFonts w:ascii="Calibri" w:hAnsi="Calibri"/>
                <w:szCs w:val="22"/>
                <w:highlight w:val="yellow"/>
              </w:rPr>
            </w:pPr>
          </w:p>
        </w:tc>
      </w:tr>
      <w:tr w:rsidR="00C0704D" w:rsidRPr="00D2449B" w14:paraId="6754C065"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917C370" w14:textId="77777777" w:rsidR="00217F8A" w:rsidRDefault="00217F8A" w:rsidP="00217F8A">
            <w:pPr>
              <w:contextualSpacing/>
              <w:rPr>
                <w:rFonts w:ascii="Calibri" w:hAnsi="Calibri"/>
                <w:bCs/>
                <w:szCs w:val="22"/>
              </w:rPr>
            </w:pPr>
            <w:r>
              <w:rPr>
                <w:rFonts w:ascii="Calibri" w:hAnsi="Calibri"/>
                <w:bCs/>
                <w:szCs w:val="22"/>
              </w:rPr>
              <w:t xml:space="preserve">The application site is located within the Forest </w:t>
            </w:r>
            <w:proofErr w:type="gramStart"/>
            <w:r>
              <w:rPr>
                <w:rFonts w:ascii="Calibri" w:hAnsi="Calibri"/>
                <w:bCs/>
                <w:szCs w:val="22"/>
              </w:rPr>
              <w:t>Of</w:t>
            </w:r>
            <w:proofErr w:type="gramEnd"/>
            <w:r>
              <w:rPr>
                <w:rFonts w:ascii="Calibri" w:hAnsi="Calibri"/>
                <w:bCs/>
                <w:szCs w:val="22"/>
              </w:rPr>
              <w:t xml:space="preserve"> Bowland National Landscape. Key Statement EN2 of the Ribble Valley Core Strategy states that </w:t>
            </w:r>
            <w:r w:rsidRPr="00217F8A">
              <w:rPr>
                <w:rFonts w:ascii="Calibri" w:hAnsi="Calibri"/>
                <w:bCs/>
                <w:szCs w:val="22"/>
              </w:rPr>
              <w:t>‘</w:t>
            </w:r>
            <w:r w:rsidRPr="00217F8A">
              <w:rPr>
                <w:rFonts w:ascii="Calibri" w:hAnsi="Calibri"/>
                <w:bCs/>
                <w:i/>
                <w:iCs/>
                <w:szCs w:val="22"/>
              </w:rPr>
              <w:t>the landscape and character of the Forest of Bowland Area of Outstanding Natural Beauty will be protected, conserved and enhanced. Any development will need to contribute to the conservation of the natural beauty of the area’</w:t>
            </w:r>
            <w:r>
              <w:rPr>
                <w:rFonts w:ascii="Calibri" w:hAnsi="Calibri"/>
                <w:bCs/>
                <w:szCs w:val="22"/>
              </w:rPr>
              <w:t>.</w:t>
            </w:r>
          </w:p>
          <w:p w14:paraId="7DDD491D" w14:textId="77777777" w:rsidR="00217F8A" w:rsidRDefault="00217F8A" w:rsidP="005E1C6C">
            <w:pPr>
              <w:contextualSpacing/>
              <w:rPr>
                <w:rFonts w:ascii="Calibri" w:hAnsi="Calibri"/>
                <w:bCs/>
                <w:i/>
                <w:iCs/>
                <w:szCs w:val="22"/>
              </w:rPr>
            </w:pPr>
          </w:p>
          <w:p w14:paraId="2BD8F108" w14:textId="06B02B63" w:rsidR="00217F8A" w:rsidRDefault="00217F8A" w:rsidP="00217F8A">
            <w:pPr>
              <w:contextualSpacing/>
              <w:rPr>
                <w:rFonts w:ascii="Calibri" w:hAnsi="Calibri"/>
                <w:bCs/>
                <w:szCs w:val="22"/>
              </w:rPr>
            </w:pPr>
            <w:r>
              <w:rPr>
                <w:rFonts w:ascii="Calibri" w:hAnsi="Calibri"/>
                <w:bCs/>
                <w:szCs w:val="22"/>
              </w:rPr>
              <w:t>In addition, Policy DMG2 states that ‘</w:t>
            </w:r>
            <w:r w:rsidRPr="00217F8A">
              <w:rPr>
                <w:rFonts w:ascii="Calibri" w:hAnsi="Calibri"/>
                <w:bCs/>
                <w:i/>
                <w:iCs/>
                <w:szCs w:val="22"/>
              </w:rPr>
              <w:t>development will be required to be in keeping with the character of the landscape and acknowledge the special qualities of the AONB by virtue of its size, design, use of material, landscaping and siting</w:t>
            </w:r>
            <w:r w:rsidRPr="00217F8A">
              <w:rPr>
                <w:rFonts w:ascii="Calibri" w:hAnsi="Calibri"/>
                <w:bCs/>
                <w:szCs w:val="22"/>
              </w:rPr>
              <w:t>.</w:t>
            </w:r>
            <w:r>
              <w:rPr>
                <w:rFonts w:ascii="Calibri" w:hAnsi="Calibri"/>
                <w:bCs/>
                <w:szCs w:val="22"/>
              </w:rPr>
              <w:t>’</w:t>
            </w:r>
          </w:p>
          <w:p w14:paraId="43E70641" w14:textId="77777777" w:rsidR="00217F8A" w:rsidRDefault="00217F8A" w:rsidP="005E1C6C">
            <w:pPr>
              <w:contextualSpacing/>
              <w:rPr>
                <w:rFonts w:ascii="Calibri" w:hAnsi="Calibri"/>
                <w:bCs/>
                <w:i/>
                <w:iCs/>
                <w:szCs w:val="22"/>
              </w:rPr>
            </w:pPr>
          </w:p>
          <w:p w14:paraId="284B2BC8" w14:textId="3DCEAEAE" w:rsidR="00C0704D" w:rsidRPr="002E5C2B" w:rsidRDefault="00F37400" w:rsidP="005E1C6C">
            <w:pPr>
              <w:contextualSpacing/>
              <w:rPr>
                <w:rFonts w:ascii="Calibri" w:hAnsi="Calibri"/>
                <w:bCs/>
                <w:szCs w:val="22"/>
              </w:rPr>
            </w:pPr>
            <w:r w:rsidRPr="002E5C2B">
              <w:rPr>
                <w:rFonts w:ascii="Calibri" w:hAnsi="Calibri"/>
                <w:bCs/>
                <w:szCs w:val="22"/>
              </w:rPr>
              <w:t>The proposed ASHP is modest in terms of scale, measuring just 0.87 metres from ground level and having a width of 1.</w:t>
            </w:r>
            <w:r w:rsidR="00217F8A">
              <w:rPr>
                <w:rFonts w:ascii="Calibri" w:hAnsi="Calibri"/>
                <w:bCs/>
                <w:szCs w:val="22"/>
              </w:rPr>
              <w:t>2</w:t>
            </w:r>
            <w:r w:rsidRPr="002E5C2B">
              <w:rPr>
                <w:rFonts w:ascii="Calibri" w:hAnsi="Calibri"/>
                <w:bCs/>
                <w:szCs w:val="22"/>
              </w:rPr>
              <w:t xml:space="preserve"> metres. </w:t>
            </w:r>
            <w:r w:rsidR="00217F8A">
              <w:rPr>
                <w:rFonts w:ascii="Calibri" w:hAnsi="Calibri"/>
                <w:bCs/>
                <w:szCs w:val="22"/>
              </w:rPr>
              <w:t xml:space="preserve">The proposed </w:t>
            </w:r>
            <w:proofErr w:type="gramStart"/>
            <w:r w:rsidR="00217F8A">
              <w:rPr>
                <w:rFonts w:ascii="Calibri" w:hAnsi="Calibri"/>
                <w:bCs/>
                <w:szCs w:val="22"/>
              </w:rPr>
              <w:t xml:space="preserve">ASHP </w:t>
            </w:r>
            <w:r w:rsidR="004A2E5D">
              <w:rPr>
                <w:rFonts w:ascii="Calibri" w:hAnsi="Calibri"/>
                <w:bCs/>
                <w:szCs w:val="22"/>
              </w:rPr>
              <w:t xml:space="preserve"> and</w:t>
            </w:r>
            <w:proofErr w:type="gramEnd"/>
            <w:r w:rsidR="004A2E5D">
              <w:rPr>
                <w:rFonts w:ascii="Calibri" w:hAnsi="Calibri"/>
                <w:bCs/>
                <w:szCs w:val="22"/>
              </w:rPr>
              <w:t xml:space="preserve"> timber screen </w:t>
            </w:r>
            <w:r w:rsidR="00217F8A">
              <w:rPr>
                <w:rFonts w:ascii="Calibri" w:hAnsi="Calibri"/>
                <w:bCs/>
                <w:szCs w:val="22"/>
              </w:rPr>
              <w:t xml:space="preserve">would also be sited behind an existing wall within the curtilage of the existing dwelling and would not be highly visible from the public realm. </w:t>
            </w:r>
            <w:r w:rsidRPr="002E5C2B">
              <w:rPr>
                <w:rFonts w:ascii="Calibri" w:hAnsi="Calibri"/>
                <w:bCs/>
                <w:szCs w:val="22"/>
              </w:rPr>
              <w:t xml:space="preserve">As such, no harm to the visual amenity of the area would be caused </w:t>
            </w:r>
            <w:proofErr w:type="gramStart"/>
            <w:r w:rsidRPr="002E5C2B">
              <w:rPr>
                <w:rFonts w:ascii="Calibri" w:hAnsi="Calibri"/>
                <w:bCs/>
                <w:szCs w:val="22"/>
              </w:rPr>
              <w:t>as a result of</w:t>
            </w:r>
            <w:proofErr w:type="gramEnd"/>
            <w:r w:rsidRPr="002E5C2B">
              <w:rPr>
                <w:rFonts w:ascii="Calibri" w:hAnsi="Calibri"/>
                <w:bCs/>
                <w:szCs w:val="22"/>
              </w:rPr>
              <w:t xml:space="preserve"> the development</w:t>
            </w:r>
            <w:r w:rsidR="00217F8A">
              <w:rPr>
                <w:rFonts w:ascii="Calibri" w:hAnsi="Calibri"/>
                <w:bCs/>
                <w:szCs w:val="22"/>
              </w:rPr>
              <w:t xml:space="preserve"> and the proposal would conserve the landscape and character of the Forest of Bowland National Landscape.</w:t>
            </w:r>
          </w:p>
          <w:p w14:paraId="10A3648A" w14:textId="2A4A1F39" w:rsidR="00F37400" w:rsidRDefault="00F37400" w:rsidP="005E1C6C">
            <w:pPr>
              <w:contextualSpacing/>
              <w:rPr>
                <w:rFonts w:ascii="Calibri" w:hAnsi="Calibri"/>
                <w:b/>
                <w:szCs w:val="22"/>
              </w:rPr>
            </w:pPr>
          </w:p>
        </w:tc>
      </w:tr>
      <w:tr w:rsidR="00844170" w:rsidRPr="00D2449B" w14:paraId="44CDC9A3"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E83E1E" w14:textId="1E4E5552" w:rsidR="00844170" w:rsidRDefault="00DB4EF3" w:rsidP="00EA09F9">
            <w:pPr>
              <w:pStyle w:val="Header"/>
              <w:tabs>
                <w:tab w:val="clear" w:pos="4153"/>
                <w:tab w:val="clear" w:pos="8306"/>
              </w:tabs>
              <w:contextualSpacing/>
              <w:jc w:val="both"/>
              <w:rPr>
                <w:rFonts w:ascii="Calibri" w:hAnsi="Calibri"/>
                <w:b/>
                <w:szCs w:val="22"/>
              </w:rPr>
            </w:pPr>
            <w:r>
              <w:rPr>
                <w:rFonts w:ascii="Calibri" w:hAnsi="Calibri"/>
                <w:b/>
                <w:szCs w:val="22"/>
              </w:rPr>
              <w:t>Impact on Heritage Assets and their settings</w:t>
            </w:r>
            <w:r w:rsidR="00844170">
              <w:rPr>
                <w:rFonts w:ascii="Calibri" w:hAnsi="Calibri"/>
                <w:b/>
                <w:szCs w:val="22"/>
              </w:rPr>
              <w:t>:</w:t>
            </w:r>
          </w:p>
          <w:p w14:paraId="208C45BE" w14:textId="6ACE4C56" w:rsidR="00901FEC" w:rsidRPr="00901FEC" w:rsidRDefault="00780E89" w:rsidP="00901FEC">
            <w:pPr>
              <w:pStyle w:val="Header"/>
              <w:tabs>
                <w:tab w:val="clear" w:pos="4153"/>
                <w:tab w:val="clear" w:pos="8306"/>
              </w:tabs>
              <w:contextualSpacing/>
              <w:jc w:val="both"/>
              <w:rPr>
                <w:rFonts w:ascii="Calibri" w:hAnsi="Calibri"/>
                <w:bCs/>
                <w:szCs w:val="22"/>
              </w:rPr>
            </w:pPr>
            <w:r>
              <w:rPr>
                <w:rFonts w:ascii="Calibri" w:hAnsi="Calibri"/>
                <w:b/>
                <w:szCs w:val="22"/>
              </w:rPr>
              <w:br/>
            </w:r>
            <w:r w:rsidR="00901FEC" w:rsidRPr="00901FEC">
              <w:rPr>
                <w:rFonts w:ascii="Calibri" w:hAnsi="Calibri"/>
                <w:bCs/>
                <w:szCs w:val="22"/>
              </w:rPr>
              <w:t xml:space="preserve">The proposal site is situated within the Chipping Conservation Area. As such, Key Statement EN5 and Policy DME4 of the Ribble Valley Core Strategy are engaged for the purposes of assessing the proposal. </w:t>
            </w:r>
          </w:p>
          <w:p w14:paraId="405C3A94" w14:textId="77777777" w:rsidR="00901FEC" w:rsidRPr="00901FEC" w:rsidRDefault="00901FEC" w:rsidP="00901FEC">
            <w:pPr>
              <w:pStyle w:val="Header"/>
              <w:tabs>
                <w:tab w:val="clear" w:pos="4153"/>
                <w:tab w:val="clear" w:pos="8306"/>
              </w:tabs>
              <w:contextualSpacing/>
              <w:rPr>
                <w:rFonts w:ascii="Calibri" w:hAnsi="Calibri"/>
                <w:bCs/>
                <w:szCs w:val="22"/>
              </w:rPr>
            </w:pPr>
          </w:p>
          <w:p w14:paraId="2D400E38" w14:textId="77777777" w:rsidR="00901FEC" w:rsidRPr="00901FEC" w:rsidRDefault="00901FEC" w:rsidP="00901FEC">
            <w:pPr>
              <w:pStyle w:val="Header"/>
              <w:tabs>
                <w:tab w:val="clear" w:pos="4153"/>
                <w:tab w:val="clear" w:pos="8306"/>
              </w:tabs>
              <w:contextualSpacing/>
              <w:rPr>
                <w:rFonts w:ascii="Calibri" w:hAnsi="Calibri"/>
                <w:bCs/>
                <w:i/>
                <w:iCs/>
                <w:szCs w:val="22"/>
              </w:rPr>
            </w:pPr>
            <w:r w:rsidRPr="00901FEC">
              <w:rPr>
                <w:rFonts w:ascii="Calibri" w:hAnsi="Calibri"/>
                <w:bCs/>
                <w:szCs w:val="22"/>
              </w:rPr>
              <w:t>Key Statement EN5 states that ‘</w:t>
            </w:r>
            <w:r w:rsidRPr="00901FEC">
              <w:rPr>
                <w:rFonts w:ascii="Calibri" w:hAnsi="Calibri"/>
                <w:bCs/>
                <w:i/>
                <w:iCs/>
                <w:szCs w:val="22"/>
              </w:rPr>
              <w:t xml:space="preserve">the historic environment and its heritage assets and their setting will be conserved and enhanced’, </w:t>
            </w:r>
            <w:r w:rsidRPr="00901FEC">
              <w:rPr>
                <w:rFonts w:ascii="Calibri" w:hAnsi="Calibri"/>
                <w:bCs/>
                <w:szCs w:val="22"/>
              </w:rPr>
              <w:t>whilst Policy DME4 states that ‘</w:t>
            </w:r>
            <w:r w:rsidRPr="00901FEC">
              <w:rPr>
                <w:rFonts w:ascii="Calibri" w:hAnsi="Calibri"/>
                <w:bCs/>
                <w:i/>
                <w:iCs/>
                <w:szCs w:val="22"/>
              </w:rPr>
              <w:t xml:space="preserve">the Council will make a presumption in favour of the conservation and enhancement of heritage assets and their settings’. </w:t>
            </w:r>
          </w:p>
          <w:p w14:paraId="0D6E34A4" w14:textId="77777777" w:rsidR="00901FEC" w:rsidRPr="00901FEC" w:rsidRDefault="00901FEC" w:rsidP="00901FEC">
            <w:pPr>
              <w:pStyle w:val="Header"/>
              <w:tabs>
                <w:tab w:val="clear" w:pos="4153"/>
                <w:tab w:val="clear" w:pos="8306"/>
              </w:tabs>
              <w:contextualSpacing/>
              <w:rPr>
                <w:rFonts w:ascii="Calibri" w:hAnsi="Calibri"/>
                <w:bCs/>
                <w:i/>
                <w:iCs/>
                <w:szCs w:val="22"/>
              </w:rPr>
            </w:pPr>
          </w:p>
          <w:p w14:paraId="57E63731" w14:textId="77777777" w:rsidR="00901FEC" w:rsidRPr="00901FEC" w:rsidRDefault="00901FEC" w:rsidP="00901FEC">
            <w:pPr>
              <w:pStyle w:val="Header"/>
              <w:tabs>
                <w:tab w:val="clear" w:pos="4153"/>
                <w:tab w:val="clear" w:pos="8306"/>
              </w:tabs>
              <w:contextualSpacing/>
              <w:rPr>
                <w:rFonts w:ascii="Calibri" w:hAnsi="Calibri"/>
                <w:bCs/>
                <w:i/>
                <w:iCs/>
                <w:szCs w:val="22"/>
              </w:rPr>
            </w:pPr>
            <w:r w:rsidRPr="00901FEC">
              <w:rPr>
                <w:rFonts w:ascii="Calibri" w:hAnsi="Calibri"/>
                <w:bCs/>
                <w:szCs w:val="22"/>
              </w:rPr>
              <w:t>Policy DMG1 is also engaged in concert with Key Statement EN5 and Policy DME4 insofar that the policy sets out genera development management considerations and states that ‘</w:t>
            </w:r>
            <w:r w:rsidRPr="00901FEC">
              <w:rPr>
                <w:rFonts w:ascii="Calibri" w:hAnsi="Calibri"/>
                <w:bCs/>
                <w:i/>
                <w:iCs/>
                <w:szCs w:val="22"/>
              </w:rPr>
              <w:t xml:space="preserve">in determining planning applications, all development must protect and enhance heritage assets and their setting’. </w:t>
            </w:r>
          </w:p>
          <w:p w14:paraId="35E034CF" w14:textId="77777777" w:rsidR="00901FEC" w:rsidRPr="00901FEC" w:rsidRDefault="00901FEC" w:rsidP="00901FEC">
            <w:pPr>
              <w:pStyle w:val="Header"/>
              <w:tabs>
                <w:tab w:val="clear" w:pos="4153"/>
                <w:tab w:val="clear" w:pos="8306"/>
              </w:tabs>
              <w:contextualSpacing/>
              <w:rPr>
                <w:rFonts w:ascii="Calibri" w:hAnsi="Calibri"/>
                <w:bCs/>
                <w:i/>
                <w:iCs/>
                <w:szCs w:val="22"/>
              </w:rPr>
            </w:pPr>
          </w:p>
          <w:p w14:paraId="7556B327" w14:textId="33AEDE2E" w:rsidR="00901FEC" w:rsidRPr="00901FEC" w:rsidRDefault="00901FEC" w:rsidP="00901FEC">
            <w:pPr>
              <w:pStyle w:val="Header"/>
              <w:tabs>
                <w:tab w:val="clear" w:pos="4153"/>
                <w:tab w:val="clear" w:pos="8306"/>
              </w:tabs>
              <w:contextualSpacing/>
              <w:rPr>
                <w:rFonts w:ascii="Calibri" w:hAnsi="Calibri"/>
                <w:bCs/>
                <w:szCs w:val="22"/>
              </w:rPr>
            </w:pPr>
            <w:r w:rsidRPr="00901FEC">
              <w:rPr>
                <w:rFonts w:ascii="Calibri" w:hAnsi="Calibri"/>
                <w:bCs/>
                <w:szCs w:val="22"/>
              </w:rPr>
              <w:lastRenderedPageBreak/>
              <w:t xml:space="preserve">Section 72 of the Town and Country Planning (Listed Building and Conservation Areas) Act 1990 also states that the Local Planning Authority should pay special attention to the desirability of preserving or enhancing the character or appearance of a Conservation Area when considering the proposed development. </w:t>
            </w:r>
          </w:p>
          <w:p w14:paraId="1A23C3B9" w14:textId="77777777" w:rsidR="00901FEC" w:rsidRPr="00901FEC" w:rsidRDefault="00901FEC" w:rsidP="00901FEC">
            <w:pPr>
              <w:pStyle w:val="Header"/>
              <w:tabs>
                <w:tab w:val="clear" w:pos="4153"/>
                <w:tab w:val="clear" w:pos="8306"/>
              </w:tabs>
              <w:contextualSpacing/>
              <w:rPr>
                <w:rFonts w:ascii="Calibri" w:hAnsi="Calibri"/>
                <w:bCs/>
                <w:szCs w:val="22"/>
              </w:rPr>
            </w:pPr>
          </w:p>
          <w:p w14:paraId="2B8AF546" w14:textId="77777777" w:rsidR="00901FEC" w:rsidRPr="00901FEC" w:rsidRDefault="00901FEC" w:rsidP="00901FEC">
            <w:pPr>
              <w:pStyle w:val="Header"/>
              <w:tabs>
                <w:tab w:val="clear" w:pos="4153"/>
                <w:tab w:val="clear" w:pos="8306"/>
              </w:tabs>
              <w:contextualSpacing/>
              <w:rPr>
                <w:rFonts w:ascii="Calibri" w:hAnsi="Calibri"/>
                <w:bCs/>
                <w:szCs w:val="22"/>
              </w:rPr>
            </w:pPr>
            <w:r w:rsidRPr="00901FEC">
              <w:rPr>
                <w:rFonts w:ascii="Calibri" w:hAnsi="Calibri"/>
                <w:bCs/>
                <w:szCs w:val="22"/>
              </w:rPr>
              <w:t>With regards to Conservation Areas, Policy DME4 states that:</w:t>
            </w:r>
          </w:p>
          <w:p w14:paraId="796ED825" w14:textId="77777777" w:rsidR="00901FEC" w:rsidRPr="00901FEC" w:rsidRDefault="00901FEC" w:rsidP="00901FEC">
            <w:pPr>
              <w:pStyle w:val="Header"/>
              <w:contextualSpacing/>
              <w:rPr>
                <w:rFonts w:ascii="Calibri" w:hAnsi="Calibri"/>
                <w:bCs/>
                <w:i/>
                <w:iCs/>
                <w:szCs w:val="22"/>
              </w:rPr>
            </w:pPr>
          </w:p>
          <w:p w14:paraId="6D492AAE" w14:textId="0CF04AB6" w:rsidR="00901FEC" w:rsidRPr="00901FEC" w:rsidRDefault="00901FEC" w:rsidP="00901FEC">
            <w:pPr>
              <w:pStyle w:val="Header"/>
              <w:contextualSpacing/>
              <w:rPr>
                <w:rFonts w:ascii="Calibri" w:hAnsi="Calibri"/>
                <w:bCs/>
                <w:i/>
                <w:iCs/>
                <w:szCs w:val="22"/>
              </w:rPr>
            </w:pPr>
            <w:r w:rsidRPr="00901FEC">
              <w:rPr>
                <w:rFonts w:ascii="Calibri" w:hAnsi="Calibri"/>
                <w:bCs/>
                <w:i/>
                <w:iCs/>
                <w:szCs w:val="22"/>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w:t>
            </w:r>
          </w:p>
          <w:p w14:paraId="2AF74AE3" w14:textId="77777777" w:rsidR="00901FEC" w:rsidRPr="00901FEC" w:rsidRDefault="00901FEC" w:rsidP="00901FEC">
            <w:pPr>
              <w:pStyle w:val="Header"/>
              <w:contextualSpacing/>
              <w:rPr>
                <w:rFonts w:ascii="Calibri" w:hAnsi="Calibri"/>
                <w:bCs/>
                <w:i/>
                <w:iCs/>
                <w:szCs w:val="22"/>
              </w:rPr>
            </w:pPr>
            <w:r w:rsidRPr="00901FEC">
              <w:rPr>
                <w:rFonts w:ascii="Calibri" w:hAnsi="Calibri"/>
                <w:bCs/>
                <w:i/>
                <w:iCs/>
                <w:szCs w:val="22"/>
              </w:rPr>
              <w:t>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6C00B776" w14:textId="77777777" w:rsidR="00901FEC" w:rsidRPr="00901FEC" w:rsidRDefault="00901FEC" w:rsidP="00901FEC">
            <w:pPr>
              <w:pStyle w:val="Header"/>
              <w:contextualSpacing/>
              <w:rPr>
                <w:rFonts w:ascii="Calibri" w:hAnsi="Calibri"/>
                <w:bCs/>
                <w:i/>
                <w:iCs/>
                <w:szCs w:val="22"/>
              </w:rPr>
            </w:pPr>
          </w:p>
          <w:p w14:paraId="728B1144" w14:textId="77777777" w:rsidR="00901FEC" w:rsidRPr="00901FEC" w:rsidRDefault="00901FEC" w:rsidP="00901FEC">
            <w:pPr>
              <w:pStyle w:val="Header"/>
              <w:contextualSpacing/>
              <w:rPr>
                <w:rFonts w:ascii="Calibri" w:hAnsi="Calibri"/>
                <w:bCs/>
                <w:i/>
                <w:iCs/>
                <w:szCs w:val="22"/>
              </w:rPr>
            </w:pPr>
            <w:r w:rsidRPr="00901FEC">
              <w:rPr>
                <w:rFonts w:ascii="Calibri" w:hAnsi="Calibri"/>
                <w:bCs/>
                <w:i/>
                <w:iCs/>
                <w:szCs w:val="22"/>
              </w:rPr>
              <w:t xml:space="preserve">In the conservation areas there will be a presumption in favour of the conservation and enhancement of elements that make a positive contribution to the character or appearance of the Conservation Area’. </w:t>
            </w:r>
          </w:p>
          <w:p w14:paraId="2D670168" w14:textId="77777777" w:rsidR="00901FEC" w:rsidRPr="00901FEC" w:rsidRDefault="00901FEC" w:rsidP="00901FEC">
            <w:pPr>
              <w:pStyle w:val="Header"/>
              <w:tabs>
                <w:tab w:val="clear" w:pos="4153"/>
                <w:tab w:val="clear" w:pos="8306"/>
              </w:tabs>
              <w:contextualSpacing/>
              <w:rPr>
                <w:rFonts w:ascii="Calibri" w:hAnsi="Calibri"/>
                <w:bCs/>
                <w:szCs w:val="22"/>
              </w:rPr>
            </w:pPr>
          </w:p>
          <w:p w14:paraId="0EF2FBAB" w14:textId="2F341D9E" w:rsidR="00901FEC" w:rsidRPr="00901FEC" w:rsidRDefault="00901FEC" w:rsidP="00901FEC">
            <w:pPr>
              <w:pStyle w:val="Header"/>
              <w:tabs>
                <w:tab w:val="clear" w:pos="4153"/>
                <w:tab w:val="clear" w:pos="8306"/>
              </w:tabs>
              <w:contextualSpacing/>
              <w:rPr>
                <w:rFonts w:ascii="Calibri" w:hAnsi="Calibri"/>
                <w:bCs/>
                <w:szCs w:val="22"/>
              </w:rPr>
            </w:pPr>
            <w:r w:rsidRPr="00901FEC">
              <w:rPr>
                <w:rFonts w:ascii="Calibri" w:hAnsi="Calibri"/>
                <w:bCs/>
                <w:szCs w:val="22"/>
              </w:rPr>
              <w:t>The application property is sited immediately adjacent Windy Street which forms one of the main routes through the Conservation Area and the application site is noted within the Chipping Conservation Area Character Appraisal as being a Building of Townscape Merit.</w:t>
            </w:r>
          </w:p>
          <w:p w14:paraId="0F5523CA" w14:textId="77777777" w:rsidR="00901FEC" w:rsidRPr="00901FEC" w:rsidRDefault="00901FEC" w:rsidP="00901FEC">
            <w:pPr>
              <w:pStyle w:val="Header"/>
              <w:tabs>
                <w:tab w:val="clear" w:pos="4153"/>
                <w:tab w:val="clear" w:pos="8306"/>
              </w:tabs>
              <w:contextualSpacing/>
              <w:rPr>
                <w:rFonts w:ascii="Calibri" w:hAnsi="Calibri"/>
                <w:bCs/>
                <w:szCs w:val="22"/>
              </w:rPr>
            </w:pPr>
          </w:p>
          <w:p w14:paraId="137E113D" w14:textId="22BC0A9E" w:rsidR="00901FEC" w:rsidRPr="00901FEC" w:rsidRDefault="00901FEC" w:rsidP="00901FEC">
            <w:pPr>
              <w:pStyle w:val="Header"/>
              <w:tabs>
                <w:tab w:val="clear" w:pos="4153"/>
                <w:tab w:val="clear" w:pos="8306"/>
              </w:tabs>
              <w:contextualSpacing/>
              <w:rPr>
                <w:rFonts w:ascii="Calibri" w:hAnsi="Calibri"/>
                <w:bCs/>
                <w:szCs w:val="22"/>
              </w:rPr>
            </w:pPr>
            <w:r w:rsidRPr="00901FEC">
              <w:rPr>
                <w:rFonts w:ascii="Calibri" w:hAnsi="Calibri"/>
                <w:bCs/>
                <w:szCs w:val="22"/>
              </w:rPr>
              <w:t xml:space="preserve">However, the proposed ASHP </w:t>
            </w:r>
            <w:r w:rsidR="00E00BA2">
              <w:rPr>
                <w:rFonts w:ascii="Calibri" w:hAnsi="Calibri"/>
                <w:bCs/>
                <w:szCs w:val="22"/>
              </w:rPr>
              <w:t xml:space="preserve">and timber screen </w:t>
            </w:r>
            <w:r w:rsidRPr="00901FEC">
              <w:rPr>
                <w:rFonts w:ascii="Calibri" w:hAnsi="Calibri"/>
                <w:bCs/>
                <w:szCs w:val="22"/>
              </w:rPr>
              <w:t xml:space="preserve">would not take a visually prominent position within the Conservation Area, being screened from view by the existing boundary along the northern boundary of 8 Windy Street. In addition, the development is relatively small-scale in nature and as such, given the above, it is not considered that the installation of the ASHP would result in any measurable undue harm upon the significance of the Chipping Conservation Area that would warrant the refusal to grant planning permission. </w:t>
            </w:r>
          </w:p>
          <w:p w14:paraId="4D85514C" w14:textId="6918610D" w:rsidR="00780E89" w:rsidRPr="00780E89" w:rsidRDefault="00780E89" w:rsidP="00EA09F9">
            <w:pPr>
              <w:pStyle w:val="Header"/>
              <w:tabs>
                <w:tab w:val="clear" w:pos="4153"/>
                <w:tab w:val="clear" w:pos="8306"/>
              </w:tabs>
              <w:contextualSpacing/>
              <w:jc w:val="both"/>
              <w:rPr>
                <w:rFonts w:ascii="Calibri" w:hAnsi="Calibri"/>
                <w:bCs/>
                <w:szCs w:val="22"/>
                <w:highlight w:val="yellow"/>
              </w:rPr>
            </w:pPr>
          </w:p>
          <w:p w14:paraId="7145412F" w14:textId="77777777" w:rsidR="00655517" w:rsidRPr="00DB4EF3" w:rsidRDefault="00901FEC" w:rsidP="00EA09F9">
            <w:pPr>
              <w:pStyle w:val="Header"/>
              <w:tabs>
                <w:tab w:val="clear" w:pos="4153"/>
                <w:tab w:val="clear" w:pos="8306"/>
              </w:tabs>
              <w:contextualSpacing/>
              <w:jc w:val="both"/>
              <w:rPr>
                <w:rFonts w:ascii="Calibri" w:hAnsi="Calibri"/>
                <w:bCs/>
                <w:szCs w:val="22"/>
              </w:rPr>
            </w:pPr>
            <w:r w:rsidRPr="00DB4EF3">
              <w:rPr>
                <w:rFonts w:ascii="Calibri" w:hAnsi="Calibri"/>
                <w:bCs/>
                <w:szCs w:val="22"/>
              </w:rPr>
              <w:t xml:space="preserve">With regards to the impact on the setting of the adjacent Listed Building, </w:t>
            </w:r>
            <w:r w:rsidR="00655517" w:rsidRPr="00DB4EF3">
              <w:rPr>
                <w:rFonts w:ascii="Calibri" w:hAnsi="Calibri"/>
                <w:bCs/>
                <w:szCs w:val="22"/>
              </w:rPr>
              <w:t>Policy DME4 states that:</w:t>
            </w:r>
          </w:p>
          <w:p w14:paraId="79F14273" w14:textId="77777777" w:rsidR="00655517" w:rsidRPr="00DB4EF3" w:rsidRDefault="00655517" w:rsidP="00EA09F9">
            <w:pPr>
              <w:pStyle w:val="Header"/>
              <w:tabs>
                <w:tab w:val="clear" w:pos="4153"/>
                <w:tab w:val="clear" w:pos="8306"/>
              </w:tabs>
              <w:contextualSpacing/>
              <w:jc w:val="both"/>
              <w:rPr>
                <w:rFonts w:ascii="Calibri" w:hAnsi="Calibri"/>
                <w:bCs/>
                <w:szCs w:val="22"/>
              </w:rPr>
            </w:pPr>
          </w:p>
          <w:p w14:paraId="0D897F2D" w14:textId="7A87DE7A" w:rsidR="00655517" w:rsidRPr="00DB4EF3" w:rsidRDefault="00DB4EF3" w:rsidP="00DB4EF3">
            <w:pPr>
              <w:pStyle w:val="Header"/>
              <w:contextualSpacing/>
              <w:jc w:val="both"/>
              <w:rPr>
                <w:rFonts w:ascii="Calibri" w:hAnsi="Calibri"/>
                <w:bCs/>
                <w:i/>
                <w:iCs/>
                <w:szCs w:val="22"/>
              </w:rPr>
            </w:pPr>
            <w:r w:rsidRPr="00DB4EF3">
              <w:rPr>
                <w:rFonts w:ascii="Calibri" w:hAnsi="Calibri"/>
                <w:bCs/>
                <w:i/>
                <w:iCs/>
                <w:szCs w:val="22"/>
              </w:rPr>
              <w:t xml:space="preserve">‘Alterations or extensions to listed buildings or buildings of local heritage interest, or development proposals on sites within their setting which cause harm to the significance of the heritage asset will not be supported’. </w:t>
            </w:r>
          </w:p>
          <w:p w14:paraId="397ACBA9" w14:textId="77777777" w:rsidR="00655517" w:rsidRPr="00DB4EF3" w:rsidRDefault="00655517" w:rsidP="00EA09F9">
            <w:pPr>
              <w:pStyle w:val="Header"/>
              <w:tabs>
                <w:tab w:val="clear" w:pos="4153"/>
                <w:tab w:val="clear" w:pos="8306"/>
              </w:tabs>
              <w:contextualSpacing/>
              <w:jc w:val="both"/>
              <w:rPr>
                <w:rFonts w:ascii="Calibri" w:hAnsi="Calibri"/>
                <w:bCs/>
                <w:szCs w:val="22"/>
              </w:rPr>
            </w:pPr>
          </w:p>
          <w:p w14:paraId="190E9631" w14:textId="0BF92F5C" w:rsidR="00655517" w:rsidRPr="00655517" w:rsidRDefault="00655517" w:rsidP="00655517">
            <w:pPr>
              <w:pStyle w:val="Header"/>
              <w:contextualSpacing/>
              <w:rPr>
                <w:rFonts w:ascii="Calibri" w:hAnsi="Calibri"/>
                <w:bCs/>
                <w:i/>
                <w:iCs/>
                <w:szCs w:val="22"/>
              </w:rPr>
            </w:pPr>
            <w:r w:rsidRPr="00655517">
              <w:rPr>
                <w:rFonts w:ascii="Calibri" w:hAnsi="Calibri"/>
                <w:bCs/>
                <w:szCs w:val="22"/>
              </w:rPr>
              <w:t>The NPPF (202</w:t>
            </w:r>
            <w:r w:rsidRPr="00DB4EF3">
              <w:rPr>
                <w:rFonts w:ascii="Calibri" w:hAnsi="Calibri"/>
                <w:bCs/>
                <w:szCs w:val="22"/>
              </w:rPr>
              <w:t>4</w:t>
            </w:r>
            <w:r w:rsidRPr="00655517">
              <w:rPr>
                <w:rFonts w:ascii="Calibri" w:hAnsi="Calibri"/>
                <w:bCs/>
                <w:szCs w:val="22"/>
              </w:rPr>
              <w:t>) also states at Paragraph 2</w:t>
            </w:r>
            <w:r w:rsidR="00DB4EF3" w:rsidRPr="00DB4EF3">
              <w:rPr>
                <w:rFonts w:ascii="Calibri" w:hAnsi="Calibri"/>
                <w:bCs/>
                <w:szCs w:val="22"/>
              </w:rPr>
              <w:t>15</w:t>
            </w:r>
            <w:r w:rsidRPr="00655517">
              <w:rPr>
                <w:rFonts w:ascii="Calibri" w:hAnsi="Calibri"/>
                <w:bCs/>
                <w:szCs w:val="22"/>
              </w:rPr>
              <w:t xml:space="preserve"> that </w:t>
            </w:r>
            <w:r w:rsidRPr="00655517">
              <w:rPr>
                <w:rFonts w:ascii="Calibri" w:hAnsi="Calibri"/>
                <w:bCs/>
                <w:i/>
                <w:iCs/>
                <w:szCs w:val="22"/>
              </w:rPr>
              <w:t>‘where a development proposal will lead to less than substantial harm to the significance of a designated heritage asset, this harm should be weighed against the public benefits of the proposal’.</w:t>
            </w:r>
          </w:p>
          <w:p w14:paraId="16862338" w14:textId="77777777" w:rsidR="00655517" w:rsidRPr="00DB4EF3" w:rsidRDefault="00655517" w:rsidP="00EA09F9">
            <w:pPr>
              <w:pStyle w:val="Header"/>
              <w:tabs>
                <w:tab w:val="clear" w:pos="4153"/>
                <w:tab w:val="clear" w:pos="8306"/>
              </w:tabs>
              <w:contextualSpacing/>
              <w:jc w:val="both"/>
              <w:rPr>
                <w:rFonts w:ascii="Calibri" w:hAnsi="Calibri"/>
                <w:bCs/>
                <w:szCs w:val="22"/>
              </w:rPr>
            </w:pPr>
          </w:p>
          <w:p w14:paraId="484DEE9A" w14:textId="6362315E" w:rsidR="00780E89" w:rsidRPr="00780E89" w:rsidRDefault="00DB4EF3" w:rsidP="00EA09F9">
            <w:pPr>
              <w:pStyle w:val="Header"/>
              <w:tabs>
                <w:tab w:val="clear" w:pos="4153"/>
                <w:tab w:val="clear" w:pos="8306"/>
              </w:tabs>
              <w:contextualSpacing/>
              <w:jc w:val="both"/>
              <w:rPr>
                <w:rFonts w:ascii="Calibri" w:hAnsi="Calibri"/>
                <w:bCs/>
                <w:szCs w:val="22"/>
              </w:rPr>
            </w:pPr>
            <w:r w:rsidRPr="00DB4EF3">
              <w:rPr>
                <w:rFonts w:ascii="Calibri" w:hAnsi="Calibri"/>
                <w:bCs/>
                <w:szCs w:val="22"/>
              </w:rPr>
              <w:t xml:space="preserve">The proposed ASHP would be sited approximately 8.5 metres from the adjacent Grade II Listed Building at no. </w:t>
            </w:r>
            <w:r>
              <w:rPr>
                <w:rFonts w:ascii="Calibri" w:hAnsi="Calibri"/>
                <w:bCs/>
                <w:szCs w:val="22"/>
              </w:rPr>
              <w:t>12 Windy Street. The proposed ASHP</w:t>
            </w:r>
            <w:r w:rsidR="00E00BA2">
              <w:rPr>
                <w:rFonts w:ascii="Calibri" w:hAnsi="Calibri"/>
                <w:bCs/>
                <w:szCs w:val="22"/>
              </w:rPr>
              <w:t xml:space="preserve"> and timber screen </w:t>
            </w:r>
            <w:r w:rsidR="00C42CFA">
              <w:rPr>
                <w:rFonts w:ascii="Calibri" w:hAnsi="Calibri"/>
                <w:bCs/>
                <w:szCs w:val="22"/>
              </w:rPr>
              <w:t>w</w:t>
            </w:r>
            <w:r w:rsidR="00E00BA2">
              <w:rPr>
                <w:rFonts w:ascii="Calibri" w:hAnsi="Calibri"/>
                <w:bCs/>
                <w:szCs w:val="22"/>
              </w:rPr>
              <w:t>ould</w:t>
            </w:r>
            <w:r>
              <w:rPr>
                <w:rFonts w:ascii="Calibri" w:hAnsi="Calibri"/>
                <w:bCs/>
                <w:szCs w:val="22"/>
              </w:rPr>
              <w:t xml:space="preserve"> likely be visible from the rear first floor windows however when considering the location of the ASHP within the setting of the designated heritage asset, the ASHP would be separated from the Listed Building by the existing single storey utility area at no. 10 and the fence. In addition, the proposed ASHP would not interrupt any views of the Listed Building and would be visually and spatially separated. As such, the proposal is not considered to harm the setting of the adjacent Grade II Listed Building.  </w:t>
            </w:r>
          </w:p>
          <w:p w14:paraId="03007D26" w14:textId="54F0BB41" w:rsidR="00844170" w:rsidRDefault="00844170" w:rsidP="00EA09F9">
            <w:pPr>
              <w:pStyle w:val="Header"/>
              <w:tabs>
                <w:tab w:val="clear" w:pos="4153"/>
                <w:tab w:val="clear" w:pos="8306"/>
              </w:tabs>
              <w:contextualSpacing/>
              <w:jc w:val="both"/>
              <w:rPr>
                <w:rFonts w:ascii="Calibri" w:hAnsi="Calibri"/>
                <w:b/>
                <w:szCs w:val="22"/>
              </w:rPr>
            </w:pPr>
          </w:p>
        </w:tc>
      </w:tr>
      <w:tr w:rsidR="00824DB6" w:rsidRPr="00D2449B" w14:paraId="673C0DDB"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Pr="00C048E8" w:rsidRDefault="00824DB6" w:rsidP="00EA09F9">
            <w:pPr>
              <w:pStyle w:val="Header"/>
              <w:tabs>
                <w:tab w:val="clear" w:pos="4153"/>
                <w:tab w:val="clear" w:pos="8306"/>
              </w:tabs>
              <w:contextualSpacing/>
              <w:jc w:val="both"/>
              <w:rPr>
                <w:rFonts w:ascii="Calibri" w:hAnsi="Calibri"/>
                <w:bCs/>
                <w:szCs w:val="22"/>
              </w:rPr>
            </w:pPr>
          </w:p>
          <w:p w14:paraId="6FE55306" w14:textId="77777777" w:rsidR="00C048E8" w:rsidRDefault="00C048E8" w:rsidP="00DB4EF3">
            <w:pPr>
              <w:pStyle w:val="Header"/>
              <w:tabs>
                <w:tab w:val="clear" w:pos="4153"/>
                <w:tab w:val="clear" w:pos="8306"/>
              </w:tabs>
              <w:contextualSpacing/>
              <w:jc w:val="both"/>
              <w:rPr>
                <w:rFonts w:ascii="Calibri" w:hAnsi="Calibri"/>
                <w:bCs/>
                <w:szCs w:val="22"/>
              </w:rPr>
            </w:pPr>
            <w:r w:rsidRPr="00C048E8">
              <w:rPr>
                <w:rFonts w:ascii="Calibri" w:hAnsi="Calibri"/>
                <w:bCs/>
                <w:szCs w:val="22"/>
              </w:rPr>
              <w:t>LCC Highways have not been consulted in relation to the proposal</w:t>
            </w:r>
            <w:r w:rsidR="00DB4EF3">
              <w:rPr>
                <w:rFonts w:ascii="Calibri" w:hAnsi="Calibri"/>
                <w:bCs/>
                <w:szCs w:val="22"/>
              </w:rPr>
              <w:t xml:space="preserve">. It is not considered the proposed development would impact on existing parking arrangements of highway safety. </w:t>
            </w:r>
          </w:p>
          <w:p w14:paraId="337694ED" w14:textId="14BA6032" w:rsidR="00DB4EF3" w:rsidRPr="00DB4EF3" w:rsidRDefault="00DB4EF3" w:rsidP="00DB4EF3">
            <w:pPr>
              <w:pStyle w:val="Header"/>
              <w:tabs>
                <w:tab w:val="clear" w:pos="4153"/>
                <w:tab w:val="clear" w:pos="8306"/>
              </w:tabs>
              <w:contextualSpacing/>
              <w:jc w:val="both"/>
              <w:rPr>
                <w:rFonts w:ascii="Calibri" w:hAnsi="Calibri"/>
                <w:bCs/>
                <w:szCs w:val="22"/>
              </w:rPr>
            </w:pPr>
          </w:p>
        </w:tc>
      </w:tr>
      <w:tr w:rsidR="00C0704D" w:rsidRPr="00D2449B" w14:paraId="0A9D02B4"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E00BA2" w:rsidRDefault="00C0704D" w:rsidP="00EA09F9">
            <w:pPr>
              <w:contextualSpacing/>
              <w:jc w:val="both"/>
              <w:rPr>
                <w:rFonts w:ascii="Calibri" w:hAnsi="Calibri"/>
                <w:b/>
                <w:bCs/>
                <w:szCs w:val="22"/>
              </w:rPr>
            </w:pPr>
            <w:r w:rsidRPr="00E00BA2">
              <w:rPr>
                <w:rFonts w:ascii="Calibri" w:hAnsi="Calibri"/>
                <w:b/>
                <w:bCs/>
                <w:szCs w:val="22"/>
              </w:rPr>
              <w:t>Observations/Consideration of Matters Raised/Conclusion:</w:t>
            </w:r>
          </w:p>
          <w:p w14:paraId="28237EFD" w14:textId="77777777" w:rsidR="00C0704D" w:rsidRPr="00E00BA2" w:rsidRDefault="00C0704D" w:rsidP="00DD62F6">
            <w:pPr>
              <w:contextualSpacing/>
              <w:rPr>
                <w:rFonts w:ascii="Calibri" w:hAnsi="Calibri"/>
                <w:bCs/>
                <w:color w:val="548DD4" w:themeColor="text2" w:themeTint="99"/>
                <w:szCs w:val="22"/>
              </w:rPr>
            </w:pPr>
          </w:p>
          <w:p w14:paraId="5A1F5F94" w14:textId="7EA229D5" w:rsidR="0046548C" w:rsidRPr="00E00BA2" w:rsidRDefault="009F4443" w:rsidP="00DD62F6">
            <w:pPr>
              <w:pStyle w:val="Header"/>
              <w:tabs>
                <w:tab w:val="clear" w:pos="4153"/>
                <w:tab w:val="clear" w:pos="8306"/>
              </w:tabs>
              <w:contextualSpacing/>
              <w:jc w:val="both"/>
              <w:rPr>
                <w:rFonts w:ascii="Calibri" w:hAnsi="Calibri"/>
                <w:bCs/>
                <w:szCs w:val="22"/>
              </w:rPr>
            </w:pPr>
            <w:r w:rsidRPr="00E00BA2">
              <w:rPr>
                <w:rFonts w:ascii="Calibri" w:hAnsi="Calibri"/>
                <w:bCs/>
                <w:szCs w:val="22"/>
              </w:rPr>
              <w:t>As such, for the above reasons and having regard to all material considerations and matters raised that the application is recommended for</w:t>
            </w:r>
            <w:r w:rsidR="00E00BA2" w:rsidRPr="00E00BA2">
              <w:rPr>
                <w:rFonts w:ascii="Calibri" w:hAnsi="Calibri"/>
                <w:bCs/>
                <w:szCs w:val="22"/>
              </w:rPr>
              <w:t xml:space="preserve"> approval subject to conditions.</w:t>
            </w:r>
          </w:p>
          <w:p w14:paraId="3A4BD7A7" w14:textId="073A1409" w:rsidR="009F4443" w:rsidRPr="00E00BA2"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C048E8">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E00BA2" w:rsidRDefault="00C0704D" w:rsidP="00CD2CEF">
            <w:pPr>
              <w:rPr>
                <w:rFonts w:ascii="Calibri" w:hAnsi="Calibri"/>
                <w:b/>
                <w:bCs/>
                <w:szCs w:val="22"/>
              </w:rPr>
            </w:pPr>
            <w:r w:rsidRPr="00E00BA2">
              <w:rPr>
                <w:rFonts w:ascii="Calibri" w:hAnsi="Calibri"/>
                <w:b/>
                <w:szCs w:val="22"/>
              </w:rPr>
              <w:lastRenderedPageBreak/>
              <w:t>RECOMMENDATION</w:t>
            </w:r>
            <w:r w:rsidRPr="00E00BA2">
              <w:rPr>
                <w:rFonts w:ascii="Calibri" w:hAnsi="Calibri"/>
                <w:szCs w:val="22"/>
              </w:rPr>
              <w:t>:</w:t>
            </w:r>
          </w:p>
        </w:tc>
        <w:tc>
          <w:tcPr>
            <w:tcW w:w="7716"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E80EEFA" w:rsidR="00C0704D" w:rsidRPr="00E00BA2" w:rsidRDefault="00E00BA2" w:rsidP="00CD2CEF">
            <w:pPr>
              <w:rPr>
                <w:rFonts w:ascii="Calibri" w:hAnsi="Calibri"/>
                <w:bCs/>
                <w:szCs w:val="22"/>
              </w:rPr>
            </w:pPr>
            <w:r w:rsidRPr="00E00BA2">
              <w:rPr>
                <w:rFonts w:asciiTheme="minorHAnsi" w:hAnsiTheme="minorHAnsi"/>
                <w:bCs/>
                <w:szCs w:val="22"/>
              </w:rPr>
              <w:t>That planning consent be granted subject to conditions.</w:t>
            </w:r>
          </w:p>
        </w:tc>
      </w:tr>
      <w:tr w:rsidR="00773A66" w:rsidRPr="00D2449B" w14:paraId="755767E6" w14:textId="77777777" w:rsidTr="00C048E8">
        <w:trPr>
          <w:jc w:val="center"/>
        </w:trPr>
        <w:tc>
          <w:tcPr>
            <w:tcW w:w="991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618EDA37" w:rsidR="00773A66" w:rsidRPr="005459BC" w:rsidRDefault="00773A66" w:rsidP="00CD2CEF">
            <w:pPr>
              <w:rPr>
                <w:rFonts w:ascii="Calibri" w:hAnsi="Calibri"/>
                <w:bCs/>
                <w:szCs w:val="22"/>
                <w:highlight w:val="yellow"/>
              </w:rPr>
            </w:pPr>
          </w:p>
        </w:tc>
      </w:tr>
    </w:tbl>
    <w:p w14:paraId="513FB541" w14:textId="77777777" w:rsidR="00E62E0B" w:rsidRPr="00D2449B" w:rsidRDefault="00E62E0B">
      <w:pPr>
        <w:rPr>
          <w:rFonts w:ascii="Calibri" w:hAnsi="Calibri"/>
          <w:szCs w:val="22"/>
        </w:rPr>
      </w:pPr>
    </w:p>
    <w:sectPr w:rsidR="00E62E0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D3037"/>
    <w:multiLevelType w:val="hybridMultilevel"/>
    <w:tmpl w:val="AACAB26E"/>
    <w:lvl w:ilvl="0" w:tplc="A9E691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5B666B"/>
    <w:multiLevelType w:val="multilevel"/>
    <w:tmpl w:val="AC20E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2053652454">
    <w:abstractNumId w:val="1"/>
  </w:num>
  <w:num w:numId="3" w16cid:durableId="4564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A147F"/>
    <w:rsid w:val="000B5CB5"/>
    <w:rsid w:val="000C6D8F"/>
    <w:rsid w:val="00122AA8"/>
    <w:rsid w:val="00130035"/>
    <w:rsid w:val="001C2022"/>
    <w:rsid w:val="001D4F7A"/>
    <w:rsid w:val="00217F8A"/>
    <w:rsid w:val="00227034"/>
    <w:rsid w:val="002459A3"/>
    <w:rsid w:val="00250879"/>
    <w:rsid w:val="0029334A"/>
    <w:rsid w:val="002A01CF"/>
    <w:rsid w:val="002B0AF0"/>
    <w:rsid w:val="002C6277"/>
    <w:rsid w:val="002E5C2B"/>
    <w:rsid w:val="002F2580"/>
    <w:rsid w:val="00321B6E"/>
    <w:rsid w:val="003D729D"/>
    <w:rsid w:val="003E5040"/>
    <w:rsid w:val="00435714"/>
    <w:rsid w:val="00440CB6"/>
    <w:rsid w:val="0046548C"/>
    <w:rsid w:val="004947BB"/>
    <w:rsid w:val="004A2E5D"/>
    <w:rsid w:val="004A5EA9"/>
    <w:rsid w:val="004C2434"/>
    <w:rsid w:val="004F0649"/>
    <w:rsid w:val="00510FA2"/>
    <w:rsid w:val="005459BC"/>
    <w:rsid w:val="00556ECD"/>
    <w:rsid w:val="005D5FBE"/>
    <w:rsid w:val="005E1C6C"/>
    <w:rsid w:val="005E65DF"/>
    <w:rsid w:val="00616F9B"/>
    <w:rsid w:val="00627F34"/>
    <w:rsid w:val="00655517"/>
    <w:rsid w:val="00692B60"/>
    <w:rsid w:val="006A71AD"/>
    <w:rsid w:val="006C2BFA"/>
    <w:rsid w:val="006D00F1"/>
    <w:rsid w:val="006F6849"/>
    <w:rsid w:val="0070054B"/>
    <w:rsid w:val="007452E0"/>
    <w:rsid w:val="00773A66"/>
    <w:rsid w:val="00776AE2"/>
    <w:rsid w:val="00780E89"/>
    <w:rsid w:val="00797673"/>
    <w:rsid w:val="007B7264"/>
    <w:rsid w:val="007C791C"/>
    <w:rsid w:val="007D7329"/>
    <w:rsid w:val="007D7DF4"/>
    <w:rsid w:val="007E0D23"/>
    <w:rsid w:val="007F16D6"/>
    <w:rsid w:val="00811771"/>
    <w:rsid w:val="00824DB6"/>
    <w:rsid w:val="00837F4F"/>
    <w:rsid w:val="00844170"/>
    <w:rsid w:val="00844E05"/>
    <w:rsid w:val="008542DE"/>
    <w:rsid w:val="008A28C8"/>
    <w:rsid w:val="008C1C34"/>
    <w:rsid w:val="00901FEC"/>
    <w:rsid w:val="00992C6F"/>
    <w:rsid w:val="009A3018"/>
    <w:rsid w:val="009F4443"/>
    <w:rsid w:val="00A41388"/>
    <w:rsid w:val="00A42E82"/>
    <w:rsid w:val="00A439BF"/>
    <w:rsid w:val="00A579BB"/>
    <w:rsid w:val="00A63D55"/>
    <w:rsid w:val="00A64846"/>
    <w:rsid w:val="00A8113A"/>
    <w:rsid w:val="00A8230C"/>
    <w:rsid w:val="00A95D89"/>
    <w:rsid w:val="00B93EB5"/>
    <w:rsid w:val="00BA1867"/>
    <w:rsid w:val="00BD3F03"/>
    <w:rsid w:val="00C048E8"/>
    <w:rsid w:val="00C0704D"/>
    <w:rsid w:val="00C25722"/>
    <w:rsid w:val="00C42CFA"/>
    <w:rsid w:val="00C618DB"/>
    <w:rsid w:val="00D11007"/>
    <w:rsid w:val="00D17EB1"/>
    <w:rsid w:val="00D2449B"/>
    <w:rsid w:val="00D279F3"/>
    <w:rsid w:val="00D54E67"/>
    <w:rsid w:val="00D907AE"/>
    <w:rsid w:val="00DB4EF3"/>
    <w:rsid w:val="00DD62F6"/>
    <w:rsid w:val="00E00BA2"/>
    <w:rsid w:val="00E32D2A"/>
    <w:rsid w:val="00E46243"/>
    <w:rsid w:val="00E51E92"/>
    <w:rsid w:val="00E55423"/>
    <w:rsid w:val="00E62E0B"/>
    <w:rsid w:val="00E66534"/>
    <w:rsid w:val="00E72F6C"/>
    <w:rsid w:val="00EA09F9"/>
    <w:rsid w:val="00EB7FD5"/>
    <w:rsid w:val="00EC23C7"/>
    <w:rsid w:val="00ED00B7"/>
    <w:rsid w:val="00EF44E6"/>
    <w:rsid w:val="00F37400"/>
    <w:rsid w:val="00F9338D"/>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4168">
      <w:bodyDiv w:val="1"/>
      <w:marLeft w:val="0"/>
      <w:marRight w:val="0"/>
      <w:marTop w:val="0"/>
      <w:marBottom w:val="0"/>
      <w:divBdr>
        <w:top w:val="none" w:sz="0" w:space="0" w:color="auto"/>
        <w:left w:val="none" w:sz="0" w:space="0" w:color="auto"/>
        <w:bottom w:val="none" w:sz="0" w:space="0" w:color="auto"/>
        <w:right w:val="none" w:sz="0" w:space="0" w:color="auto"/>
      </w:divBdr>
    </w:div>
    <w:div w:id="90050353">
      <w:bodyDiv w:val="1"/>
      <w:marLeft w:val="0"/>
      <w:marRight w:val="0"/>
      <w:marTop w:val="0"/>
      <w:marBottom w:val="0"/>
      <w:divBdr>
        <w:top w:val="none" w:sz="0" w:space="0" w:color="auto"/>
        <w:left w:val="none" w:sz="0" w:space="0" w:color="auto"/>
        <w:bottom w:val="none" w:sz="0" w:space="0" w:color="auto"/>
        <w:right w:val="none" w:sz="0" w:space="0" w:color="auto"/>
      </w:divBdr>
    </w:div>
    <w:div w:id="605816699">
      <w:bodyDiv w:val="1"/>
      <w:marLeft w:val="0"/>
      <w:marRight w:val="0"/>
      <w:marTop w:val="0"/>
      <w:marBottom w:val="0"/>
      <w:divBdr>
        <w:top w:val="none" w:sz="0" w:space="0" w:color="auto"/>
        <w:left w:val="none" w:sz="0" w:space="0" w:color="auto"/>
        <w:bottom w:val="none" w:sz="0" w:space="0" w:color="auto"/>
        <w:right w:val="none" w:sz="0" w:space="0" w:color="auto"/>
      </w:divBdr>
    </w:div>
    <w:div w:id="668604980">
      <w:bodyDiv w:val="1"/>
      <w:marLeft w:val="0"/>
      <w:marRight w:val="0"/>
      <w:marTop w:val="0"/>
      <w:marBottom w:val="0"/>
      <w:divBdr>
        <w:top w:val="none" w:sz="0" w:space="0" w:color="auto"/>
        <w:left w:val="none" w:sz="0" w:space="0" w:color="auto"/>
        <w:bottom w:val="none" w:sz="0" w:space="0" w:color="auto"/>
        <w:right w:val="none" w:sz="0" w:space="0" w:color="auto"/>
      </w:divBdr>
    </w:div>
    <w:div w:id="734669315">
      <w:bodyDiv w:val="1"/>
      <w:marLeft w:val="0"/>
      <w:marRight w:val="0"/>
      <w:marTop w:val="0"/>
      <w:marBottom w:val="0"/>
      <w:divBdr>
        <w:top w:val="none" w:sz="0" w:space="0" w:color="auto"/>
        <w:left w:val="none" w:sz="0" w:space="0" w:color="auto"/>
        <w:bottom w:val="none" w:sz="0" w:space="0" w:color="auto"/>
        <w:right w:val="none" w:sz="0" w:space="0" w:color="auto"/>
      </w:divBdr>
    </w:div>
    <w:div w:id="754588857">
      <w:bodyDiv w:val="1"/>
      <w:marLeft w:val="0"/>
      <w:marRight w:val="0"/>
      <w:marTop w:val="0"/>
      <w:marBottom w:val="0"/>
      <w:divBdr>
        <w:top w:val="none" w:sz="0" w:space="0" w:color="auto"/>
        <w:left w:val="none" w:sz="0" w:space="0" w:color="auto"/>
        <w:bottom w:val="none" w:sz="0" w:space="0" w:color="auto"/>
        <w:right w:val="none" w:sz="0" w:space="0" w:color="auto"/>
      </w:divBdr>
    </w:div>
    <w:div w:id="1099253087">
      <w:bodyDiv w:val="1"/>
      <w:marLeft w:val="0"/>
      <w:marRight w:val="0"/>
      <w:marTop w:val="0"/>
      <w:marBottom w:val="0"/>
      <w:divBdr>
        <w:top w:val="none" w:sz="0" w:space="0" w:color="auto"/>
        <w:left w:val="none" w:sz="0" w:space="0" w:color="auto"/>
        <w:bottom w:val="none" w:sz="0" w:space="0" w:color="auto"/>
        <w:right w:val="none" w:sz="0" w:space="0" w:color="auto"/>
      </w:divBdr>
    </w:div>
    <w:div w:id="1119908856">
      <w:bodyDiv w:val="1"/>
      <w:marLeft w:val="0"/>
      <w:marRight w:val="0"/>
      <w:marTop w:val="0"/>
      <w:marBottom w:val="0"/>
      <w:divBdr>
        <w:top w:val="none" w:sz="0" w:space="0" w:color="auto"/>
        <w:left w:val="none" w:sz="0" w:space="0" w:color="auto"/>
        <w:bottom w:val="none" w:sz="0" w:space="0" w:color="auto"/>
        <w:right w:val="none" w:sz="0" w:space="0" w:color="auto"/>
      </w:divBdr>
    </w:div>
    <w:div w:id="1209806613">
      <w:bodyDiv w:val="1"/>
      <w:marLeft w:val="0"/>
      <w:marRight w:val="0"/>
      <w:marTop w:val="0"/>
      <w:marBottom w:val="0"/>
      <w:divBdr>
        <w:top w:val="none" w:sz="0" w:space="0" w:color="auto"/>
        <w:left w:val="none" w:sz="0" w:space="0" w:color="auto"/>
        <w:bottom w:val="none" w:sz="0" w:space="0" w:color="auto"/>
        <w:right w:val="none" w:sz="0" w:space="0" w:color="auto"/>
      </w:divBdr>
    </w:div>
    <w:div w:id="1424186482">
      <w:bodyDiv w:val="1"/>
      <w:marLeft w:val="0"/>
      <w:marRight w:val="0"/>
      <w:marTop w:val="0"/>
      <w:marBottom w:val="0"/>
      <w:divBdr>
        <w:top w:val="none" w:sz="0" w:space="0" w:color="auto"/>
        <w:left w:val="none" w:sz="0" w:space="0" w:color="auto"/>
        <w:bottom w:val="none" w:sz="0" w:space="0" w:color="auto"/>
        <w:right w:val="none" w:sz="0" w:space="0" w:color="auto"/>
      </w:divBdr>
    </w:div>
    <w:div w:id="1467427913">
      <w:bodyDiv w:val="1"/>
      <w:marLeft w:val="0"/>
      <w:marRight w:val="0"/>
      <w:marTop w:val="0"/>
      <w:marBottom w:val="0"/>
      <w:divBdr>
        <w:top w:val="none" w:sz="0" w:space="0" w:color="auto"/>
        <w:left w:val="none" w:sz="0" w:space="0" w:color="auto"/>
        <w:bottom w:val="none" w:sz="0" w:space="0" w:color="auto"/>
        <w:right w:val="none" w:sz="0" w:space="0" w:color="auto"/>
      </w:divBdr>
    </w:div>
    <w:div w:id="1488206485">
      <w:bodyDiv w:val="1"/>
      <w:marLeft w:val="0"/>
      <w:marRight w:val="0"/>
      <w:marTop w:val="0"/>
      <w:marBottom w:val="0"/>
      <w:divBdr>
        <w:top w:val="none" w:sz="0" w:space="0" w:color="auto"/>
        <w:left w:val="none" w:sz="0" w:space="0" w:color="auto"/>
        <w:bottom w:val="none" w:sz="0" w:space="0" w:color="auto"/>
        <w:right w:val="none" w:sz="0" w:space="0" w:color="auto"/>
      </w:divBdr>
    </w:div>
    <w:div w:id="2009866507">
      <w:bodyDiv w:val="1"/>
      <w:marLeft w:val="0"/>
      <w:marRight w:val="0"/>
      <w:marTop w:val="0"/>
      <w:marBottom w:val="0"/>
      <w:divBdr>
        <w:top w:val="none" w:sz="0" w:space="0" w:color="auto"/>
        <w:left w:val="none" w:sz="0" w:space="0" w:color="auto"/>
        <w:bottom w:val="none" w:sz="0" w:space="0" w:color="auto"/>
        <w:right w:val="none" w:sz="0" w:space="0" w:color="auto"/>
      </w:divBdr>
    </w:div>
    <w:div w:id="20322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2024-05-10T08:55:00Z</cp:lastPrinted>
  <dcterms:created xsi:type="dcterms:W3CDTF">2025-02-05T16:12:00Z</dcterms:created>
  <dcterms:modified xsi:type="dcterms:W3CDTF">2025-02-05T16:12:00Z</dcterms:modified>
</cp:coreProperties>
</file>