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62"/>
        <w:gridCol w:w="197"/>
        <w:gridCol w:w="431"/>
        <w:gridCol w:w="723"/>
        <w:gridCol w:w="696"/>
        <w:gridCol w:w="602"/>
        <w:gridCol w:w="699"/>
        <w:gridCol w:w="579"/>
        <w:gridCol w:w="826"/>
        <w:gridCol w:w="992"/>
        <w:gridCol w:w="1317"/>
      </w:tblGrid>
      <w:tr w:rsidR="004A5EA9" w:rsidRPr="00D2449B" w14:paraId="230E00AF"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CA6C21">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56E9107" w:rsidR="00837F4F" w:rsidRPr="00D2449B" w:rsidRDefault="003D5074" w:rsidP="00D2449B">
            <w:pPr>
              <w:jc w:val="center"/>
              <w:rPr>
                <w:rFonts w:ascii="Calibri" w:hAnsi="Calibri"/>
                <w:b/>
                <w:szCs w:val="22"/>
              </w:rPr>
            </w:pPr>
            <w:r>
              <w:rPr>
                <w:rFonts w:ascii="Calibri" w:hAnsi="Calibri"/>
                <w:b/>
                <w:szCs w:val="22"/>
              </w:rPr>
              <w:t>EP</w:t>
            </w:r>
          </w:p>
        </w:tc>
        <w:tc>
          <w:tcPr>
            <w:tcW w:w="11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79FBFE9" w:rsidR="00837F4F" w:rsidRPr="00D2449B" w:rsidRDefault="003D5074" w:rsidP="00D2449B">
            <w:pPr>
              <w:jc w:val="center"/>
              <w:rPr>
                <w:rFonts w:ascii="Calibri" w:hAnsi="Calibri"/>
                <w:b/>
                <w:szCs w:val="22"/>
              </w:rPr>
            </w:pPr>
            <w:r>
              <w:rPr>
                <w:rFonts w:ascii="Calibri" w:hAnsi="Calibri"/>
                <w:b/>
                <w:szCs w:val="22"/>
              </w:rPr>
              <w:t>29/01/2025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0863995" w:rsidR="00837F4F" w:rsidRPr="00D2449B" w:rsidRDefault="00CA6C21" w:rsidP="00D2449B">
            <w:pPr>
              <w:jc w:val="center"/>
              <w:rPr>
                <w:rFonts w:ascii="Calibri" w:hAnsi="Calibri"/>
                <w:b/>
                <w:szCs w:val="22"/>
              </w:rPr>
            </w:pPr>
            <w:r>
              <w:rPr>
                <w:rFonts w:ascii="Calibri" w:hAnsi="Calibri"/>
                <w:b/>
                <w:szCs w:val="22"/>
              </w:rPr>
              <w:t>KH</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3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DA472B0" w:rsidR="00837F4F" w:rsidRPr="00D2449B" w:rsidRDefault="00CA6C21" w:rsidP="00D2449B">
            <w:pPr>
              <w:jc w:val="center"/>
              <w:rPr>
                <w:rFonts w:ascii="Calibri" w:hAnsi="Calibri"/>
                <w:b/>
                <w:szCs w:val="22"/>
              </w:rPr>
            </w:pPr>
            <w:r>
              <w:rPr>
                <w:rFonts w:ascii="Calibri" w:hAnsi="Calibri"/>
                <w:b/>
                <w:szCs w:val="22"/>
              </w:rPr>
              <w:t>30/01/25</w:t>
            </w:r>
          </w:p>
        </w:tc>
      </w:tr>
      <w:tr w:rsidR="004A5EA9" w:rsidRPr="00D2449B" w14:paraId="2094A164" w14:textId="77777777" w:rsidTr="00CA6C21">
        <w:trPr>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CA6C2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01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85F3DC8"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ED6CE3">
              <w:rPr>
                <w:rFonts w:ascii="Calibri" w:hAnsi="Calibri"/>
                <w:szCs w:val="22"/>
              </w:rPr>
              <w:t>24</w:t>
            </w:r>
            <w:r w:rsidR="00C0704D">
              <w:rPr>
                <w:rFonts w:ascii="Calibri" w:hAnsi="Calibri"/>
                <w:szCs w:val="22"/>
              </w:rPr>
              <w:t>/</w:t>
            </w:r>
            <w:r w:rsidR="00ED6CE3">
              <w:rPr>
                <w:rFonts w:ascii="Calibri" w:hAnsi="Calibri"/>
                <w:szCs w:val="22"/>
              </w:rPr>
              <w:t>0947</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CA6C2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2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F3AF6DA" w:rsidR="00824DB6" w:rsidRPr="00C0704D" w:rsidRDefault="00681229" w:rsidP="002C6277">
            <w:pPr>
              <w:rPr>
                <w:rFonts w:ascii="Calibri" w:hAnsi="Calibri"/>
                <w:szCs w:val="22"/>
              </w:rPr>
            </w:pPr>
            <w:r>
              <w:rPr>
                <w:rFonts w:ascii="Calibri" w:hAnsi="Calibri"/>
                <w:szCs w:val="22"/>
              </w:rPr>
              <w:t>10/01/2025</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E8776FF" w:rsidR="00824DB6" w:rsidRPr="00C0704D" w:rsidRDefault="003D5074" w:rsidP="002C6277">
            <w:pPr>
              <w:rPr>
                <w:rFonts w:ascii="Calibri" w:hAnsi="Calibri"/>
                <w:szCs w:val="22"/>
              </w:rPr>
            </w:pPr>
            <w:r>
              <w:rPr>
                <w:rFonts w:ascii="Calibri" w:hAnsi="Calibri"/>
                <w:szCs w:val="22"/>
              </w:rPr>
              <w:t>N/A</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CA6C2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01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03DB5CC" w:rsidR="004A5EA9" w:rsidRPr="00250879" w:rsidRDefault="003D5074" w:rsidP="00811771">
            <w:pPr>
              <w:rPr>
                <w:rFonts w:ascii="Calibri" w:hAnsi="Calibri"/>
                <w:color w:val="548DD4" w:themeColor="text2" w:themeTint="99"/>
                <w:szCs w:val="22"/>
              </w:rPr>
            </w:pPr>
            <w:r>
              <w:rPr>
                <w:rFonts w:ascii="Calibri" w:hAnsi="Calibri"/>
                <w:color w:val="548DD4" w:themeColor="text2" w:themeTint="99"/>
                <w:szCs w:val="22"/>
              </w:rPr>
              <w:t>EP</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CA6C21">
        <w:trPr>
          <w:jc w:val="center"/>
        </w:trPr>
        <w:tc>
          <w:tcPr>
            <w:tcW w:w="624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6805BA3" w:rsidR="004A5EA9" w:rsidRPr="00D2449B" w:rsidRDefault="0084491F" w:rsidP="002A01CF">
            <w:pPr>
              <w:jc w:val="center"/>
              <w:rPr>
                <w:rFonts w:ascii="Calibri" w:hAnsi="Calibri"/>
                <w:b/>
                <w:szCs w:val="22"/>
              </w:rPr>
            </w:pPr>
            <w:r>
              <w:rPr>
                <w:rFonts w:ascii="Calibri" w:hAnsi="Calibri"/>
                <w:b/>
                <w:szCs w:val="22"/>
              </w:rPr>
              <w:t>APPROVAL</w:t>
            </w:r>
          </w:p>
        </w:tc>
      </w:tr>
      <w:tr w:rsidR="004A5EA9" w:rsidRPr="00D2449B" w14:paraId="7813B96A" w14:textId="77777777" w:rsidTr="00CA6C21">
        <w:trPr>
          <w:trHeight w:hRule="exact" w:val="170"/>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CA6C21">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F6C6AFC" w:rsidR="004A5EA9" w:rsidRPr="002C6277" w:rsidRDefault="00F62B54">
            <w:pPr>
              <w:rPr>
                <w:rFonts w:ascii="Calibri" w:hAnsi="Calibri"/>
                <w:szCs w:val="22"/>
              </w:rPr>
            </w:pPr>
            <w:r w:rsidRPr="00F62B54">
              <w:rPr>
                <w:rFonts w:ascii="Calibri" w:hAnsi="Calibri"/>
                <w:szCs w:val="22"/>
              </w:rPr>
              <w:t>Proposed first floor extension above existing garage, removal of garage door, single storey rear extension to adjoin existing conservatory and new associated roofing.</w:t>
            </w:r>
          </w:p>
        </w:tc>
      </w:tr>
      <w:tr w:rsidR="002A01CF" w:rsidRPr="00D2449B" w14:paraId="52988241" w14:textId="77777777" w:rsidTr="00CA6C21">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5577688" w:rsidR="002A01CF" w:rsidRPr="002C6277" w:rsidRDefault="00FA613E" w:rsidP="00A42E82">
            <w:pPr>
              <w:rPr>
                <w:rFonts w:ascii="Calibri" w:hAnsi="Calibri"/>
                <w:szCs w:val="22"/>
              </w:rPr>
            </w:pPr>
            <w:r>
              <w:rPr>
                <w:rFonts w:ascii="Calibri" w:hAnsi="Calibri"/>
                <w:szCs w:val="22"/>
              </w:rPr>
              <w:t>85 Chatburn Road, Clitheroe BB7 2AS.</w:t>
            </w:r>
          </w:p>
        </w:tc>
      </w:tr>
      <w:tr w:rsidR="00A95D89" w:rsidRPr="00D2449B" w14:paraId="3FB99B2E" w14:textId="77777777" w:rsidTr="00CA6C21">
        <w:trPr>
          <w:trHeight w:hRule="exact" w:val="170"/>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CA6C21">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EB066F2" w:rsidR="002A01CF" w:rsidRPr="007520F6" w:rsidRDefault="007520F6">
            <w:pPr>
              <w:rPr>
                <w:rFonts w:ascii="Calibri" w:hAnsi="Calibri"/>
                <w:bCs/>
                <w:szCs w:val="22"/>
              </w:rPr>
            </w:pPr>
            <w:r w:rsidRPr="007520F6">
              <w:rPr>
                <w:rFonts w:ascii="Calibri" w:hAnsi="Calibri"/>
                <w:bCs/>
                <w:szCs w:val="22"/>
              </w:rPr>
              <w:t xml:space="preserve">Clitheroe Town Council raise no objection to the proposal. </w:t>
            </w:r>
          </w:p>
        </w:tc>
      </w:tr>
      <w:tr w:rsidR="00C618DB" w:rsidRPr="00D2449B" w14:paraId="639E958B" w14:textId="77777777" w:rsidTr="00CA6C21">
        <w:trPr>
          <w:trHeight w:hRule="exact" w:val="170"/>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CA6C21">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CA6C21">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26DA7F0" w:rsidR="002A01CF" w:rsidRPr="00D2449B" w:rsidRDefault="007520F6">
            <w:pPr>
              <w:rPr>
                <w:rFonts w:ascii="Calibri" w:hAnsi="Calibri"/>
                <w:b/>
                <w:szCs w:val="22"/>
              </w:rPr>
            </w:pPr>
            <w:r>
              <w:rPr>
                <w:rFonts w:ascii="Calibri" w:hAnsi="Calibri"/>
                <w:b/>
                <w:szCs w:val="22"/>
              </w:rPr>
              <w:t xml:space="preserve">No objection. </w:t>
            </w:r>
          </w:p>
        </w:tc>
      </w:tr>
      <w:tr w:rsidR="00C0704D" w:rsidRPr="00D2449B" w14:paraId="62663AAF"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CA6C21">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6819B335" w:rsidR="00C0704D" w:rsidRPr="00C0704D" w:rsidRDefault="007520F6"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CA6C21">
        <w:trPr>
          <w:trHeight w:hRule="exact" w:val="170"/>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3F4BCF08" w14:textId="77777777" w:rsidR="00992C6F" w:rsidRDefault="00992C6F" w:rsidP="00992C6F">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1E4E1135" w14:textId="77777777" w:rsidR="00992C6F" w:rsidRPr="00C618DB"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61DC6279" w:rsidR="0046548C" w:rsidRPr="003D5074" w:rsidRDefault="003D5074" w:rsidP="00C0704D">
            <w:pPr>
              <w:pStyle w:val="PLANNING"/>
              <w:rPr>
                <w:rFonts w:ascii="Calibri" w:hAnsi="Calibri"/>
                <w:szCs w:val="22"/>
              </w:rPr>
            </w:pPr>
            <w:r w:rsidRPr="003D5074">
              <w:rPr>
                <w:rFonts w:ascii="Calibri" w:hAnsi="Calibri"/>
                <w:szCs w:val="22"/>
              </w:rPr>
              <w:t xml:space="preserve">No planning history.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CA6C21">
        <w:trPr>
          <w:trHeight w:hRule="exact" w:val="170"/>
          <w:jc w:val="center"/>
        </w:trPr>
        <w:tc>
          <w:tcPr>
            <w:tcW w:w="995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644A875" w14:textId="59BF357B" w:rsidR="00010751" w:rsidRPr="00010751" w:rsidRDefault="00010751" w:rsidP="00010751">
            <w:pPr>
              <w:pStyle w:val="Header"/>
              <w:tabs>
                <w:tab w:val="clear" w:pos="4153"/>
                <w:tab w:val="clear" w:pos="8306"/>
              </w:tabs>
              <w:contextualSpacing/>
              <w:rPr>
                <w:rFonts w:ascii="Calibri" w:hAnsi="Calibri"/>
                <w:bCs/>
                <w:szCs w:val="22"/>
              </w:rPr>
            </w:pPr>
            <w:r w:rsidRPr="00010751">
              <w:rPr>
                <w:rFonts w:ascii="Calibri" w:hAnsi="Calibri"/>
                <w:bCs/>
                <w:szCs w:val="22"/>
              </w:rPr>
              <w:t xml:space="preserve">The application relates to a </w:t>
            </w:r>
            <w:r>
              <w:rPr>
                <w:rFonts w:ascii="Calibri" w:hAnsi="Calibri"/>
                <w:bCs/>
                <w:szCs w:val="22"/>
              </w:rPr>
              <w:t>s</w:t>
            </w:r>
            <w:r w:rsidRPr="00010751">
              <w:rPr>
                <w:rFonts w:ascii="Calibri" w:hAnsi="Calibri"/>
                <w:bCs/>
                <w:szCs w:val="22"/>
              </w:rPr>
              <w:t>emi-detached property which front</w:t>
            </w:r>
            <w:r>
              <w:rPr>
                <w:rFonts w:ascii="Calibri" w:hAnsi="Calibri"/>
                <w:bCs/>
                <w:szCs w:val="22"/>
              </w:rPr>
              <w:t xml:space="preserve">s </w:t>
            </w:r>
            <w:r w:rsidRPr="00010751">
              <w:rPr>
                <w:rFonts w:ascii="Calibri" w:hAnsi="Calibri"/>
                <w:bCs/>
                <w:szCs w:val="22"/>
              </w:rPr>
              <w:t>Chatburn Road in Clitheroe. The surrounding area is predominantly residential in nature, being typifie</w:t>
            </w:r>
            <w:r>
              <w:rPr>
                <w:rFonts w:ascii="Calibri" w:hAnsi="Calibri"/>
                <w:bCs/>
                <w:szCs w:val="22"/>
              </w:rPr>
              <w:t>d</w:t>
            </w:r>
            <w:r w:rsidRPr="00010751">
              <w:rPr>
                <w:rFonts w:ascii="Calibri" w:hAnsi="Calibri"/>
                <w:bCs/>
                <w:szCs w:val="22"/>
              </w:rPr>
              <w:t xml:space="preserve"> of varying styles of dwelling. The application site itself is not on any designated land. </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2AF9387" w14:textId="7844A66F" w:rsidR="00C0704D" w:rsidRDefault="00F62B54" w:rsidP="002F2580">
            <w:pPr>
              <w:rPr>
                <w:rFonts w:ascii="Calibri" w:hAnsi="Calibri"/>
                <w:szCs w:val="22"/>
              </w:rPr>
            </w:pPr>
            <w:r>
              <w:rPr>
                <w:rFonts w:ascii="Calibri" w:hAnsi="Calibri"/>
                <w:szCs w:val="22"/>
              </w:rPr>
              <w:t xml:space="preserve">Consent is sought for the construction of a first-floor extension above the existing single-storey side extension. He application also seeks consent for a single-storey rear extension which will adjoin the existing conservatory with an associated canopy roof. </w:t>
            </w:r>
          </w:p>
          <w:p w14:paraId="1B20488F" w14:textId="389D8262" w:rsidR="00F62B54" w:rsidRPr="00D54E67" w:rsidRDefault="00F62B54" w:rsidP="002F2580">
            <w:pPr>
              <w:rPr>
                <w:rFonts w:ascii="Calibri" w:hAnsi="Calibri"/>
                <w:szCs w:val="22"/>
              </w:rPr>
            </w:pPr>
          </w:p>
        </w:tc>
      </w:tr>
      <w:tr w:rsidR="00C0704D" w:rsidRPr="00D2449B" w14:paraId="617768FF"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23450B05" w14:textId="201F3B4F" w:rsidR="00F62B54" w:rsidRDefault="00F62B54" w:rsidP="00C0704D">
            <w:pPr>
              <w:contextualSpacing/>
              <w:rPr>
                <w:rFonts w:ascii="Calibri" w:hAnsi="Calibri"/>
                <w:szCs w:val="22"/>
              </w:rPr>
            </w:pPr>
            <w:r>
              <w:rPr>
                <w:rFonts w:ascii="Calibri" w:hAnsi="Calibri"/>
                <w:szCs w:val="22"/>
              </w:rPr>
              <w:t xml:space="preserve">The application dwelling has one immediately adjoining neighbouring property to the Northeast known as No.87 Chatburn Road. </w:t>
            </w:r>
            <w:r w:rsidR="00681229">
              <w:rPr>
                <w:rFonts w:ascii="Calibri" w:hAnsi="Calibri"/>
                <w:szCs w:val="22"/>
              </w:rPr>
              <w:t xml:space="preserve">The proposed development is contained to the western side of the dwelling, the application property itself will screen the development for the neighbouring receptors at No.87. As such, no loss of light or sense of overbearing will be created resultant. </w:t>
            </w:r>
          </w:p>
          <w:p w14:paraId="4E334F7A" w14:textId="77777777" w:rsidR="00F62B54" w:rsidRDefault="00F62B54" w:rsidP="00C0704D">
            <w:pPr>
              <w:contextualSpacing/>
              <w:rPr>
                <w:rFonts w:ascii="Calibri" w:hAnsi="Calibri"/>
                <w:szCs w:val="22"/>
              </w:rPr>
            </w:pPr>
          </w:p>
          <w:p w14:paraId="6A708D0E" w14:textId="215729AA" w:rsidR="00ED00B7" w:rsidRDefault="00F62B54" w:rsidP="00C0704D">
            <w:pPr>
              <w:contextualSpacing/>
              <w:rPr>
                <w:rFonts w:ascii="Calibri" w:hAnsi="Calibri"/>
                <w:szCs w:val="22"/>
              </w:rPr>
            </w:pPr>
            <w:r>
              <w:rPr>
                <w:rFonts w:ascii="Calibri" w:hAnsi="Calibri"/>
                <w:szCs w:val="22"/>
              </w:rPr>
              <w:t>The property to the Southwest, No.83 Chatburn Road is a sufficient distance from the development, with an existing driveway</w:t>
            </w:r>
            <w:r w:rsidR="003D5074">
              <w:rPr>
                <w:rFonts w:ascii="Calibri" w:hAnsi="Calibri"/>
                <w:szCs w:val="22"/>
              </w:rPr>
              <w:t>, vegetation</w:t>
            </w:r>
            <w:r>
              <w:rPr>
                <w:rFonts w:ascii="Calibri" w:hAnsi="Calibri"/>
                <w:szCs w:val="22"/>
              </w:rPr>
              <w:t xml:space="preserve"> and pathway providing separation, to mitigate any adverse impact. </w:t>
            </w:r>
          </w:p>
          <w:p w14:paraId="0DB485A3" w14:textId="58112E6C" w:rsidR="00F62B54" w:rsidRPr="00C0704D" w:rsidRDefault="00F62B54" w:rsidP="00C0704D">
            <w:pPr>
              <w:contextualSpacing/>
              <w:rPr>
                <w:rFonts w:ascii="Calibri" w:hAnsi="Calibri"/>
                <w:szCs w:val="22"/>
              </w:rPr>
            </w:pPr>
          </w:p>
        </w:tc>
      </w:tr>
      <w:tr w:rsidR="00C0704D" w:rsidRPr="00D2449B" w14:paraId="6754C065"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3CFACB72" w14:textId="77777777" w:rsidR="00FA613E" w:rsidRDefault="00FA613E" w:rsidP="00FA613E">
            <w:pPr>
              <w:pStyle w:val="Header"/>
              <w:tabs>
                <w:tab w:val="left" w:pos="720"/>
              </w:tabs>
              <w:jc w:val="both"/>
              <w:rPr>
                <w:rFonts w:asciiTheme="minorHAnsi" w:hAnsiTheme="minorHAnsi" w:cstheme="minorHAnsi"/>
              </w:rPr>
            </w:pPr>
            <w:r>
              <w:rPr>
                <w:rFonts w:asciiTheme="minorHAnsi" w:hAnsiTheme="minorHAnsi" w:cstheme="minorHAnsi"/>
              </w:rPr>
              <w:t>Policy DMG1 of the RVCS states that development must</w:t>
            </w:r>
          </w:p>
          <w:p w14:paraId="7C5BB55F" w14:textId="77777777" w:rsidR="00FA613E" w:rsidRPr="00FA613E" w:rsidRDefault="00FA613E" w:rsidP="00FA613E">
            <w:pPr>
              <w:pStyle w:val="Header"/>
              <w:tabs>
                <w:tab w:val="left" w:pos="720"/>
              </w:tabs>
              <w:jc w:val="both"/>
              <w:rPr>
                <w:rFonts w:asciiTheme="minorHAnsi" w:hAnsiTheme="minorHAnsi" w:cstheme="minorHAnsi"/>
              </w:rPr>
            </w:pPr>
          </w:p>
          <w:p w14:paraId="6549F000" w14:textId="77777777" w:rsidR="00FA613E" w:rsidRPr="00FA613E" w:rsidRDefault="00FA613E" w:rsidP="00FA613E">
            <w:pPr>
              <w:jc w:val="both"/>
              <w:rPr>
                <w:rFonts w:asciiTheme="minorHAnsi" w:hAnsiTheme="minorHAnsi" w:cstheme="minorHAnsi"/>
                <w:i/>
                <w:iCs/>
              </w:rPr>
            </w:pPr>
            <w:r w:rsidRPr="00FA613E">
              <w:rPr>
                <w:rFonts w:asciiTheme="minorHAnsi" w:hAnsiTheme="minorHAnsi" w:cstheme="minorHAnsi"/>
                <w:i/>
                <w:iCs/>
              </w:rPr>
              <w:t xml:space="preserve">1. Be of a high standard of building design which considers the 8 building in context principles (from the cabe/English heritage building on context toolkit. </w:t>
            </w:r>
          </w:p>
          <w:p w14:paraId="60891ED1" w14:textId="77777777" w:rsidR="00FA613E" w:rsidRPr="00FA613E" w:rsidRDefault="00FA613E" w:rsidP="00FA613E">
            <w:pPr>
              <w:jc w:val="both"/>
              <w:rPr>
                <w:rFonts w:asciiTheme="minorHAnsi" w:hAnsiTheme="minorHAnsi" w:cstheme="minorHAnsi"/>
                <w:i/>
                <w:iCs/>
              </w:rPr>
            </w:pPr>
            <w:r w:rsidRPr="00FA613E">
              <w:rPr>
                <w:rFonts w:asciiTheme="minorHAnsi" w:hAnsiTheme="minorHAnsi" w:cstheme="minorHAnsi"/>
                <w:i/>
                <w:iCs/>
              </w:rPr>
              <w:t xml:space="preserve">2. Be sympathetic to existing and proposed land uses in terms of its size, intensity and nature as well as scale, massing, style, features and building materials. </w:t>
            </w:r>
          </w:p>
          <w:p w14:paraId="07702A92" w14:textId="77777777" w:rsidR="00FA613E" w:rsidRDefault="00FA613E" w:rsidP="00FA613E">
            <w:pPr>
              <w:jc w:val="both"/>
              <w:rPr>
                <w:rFonts w:asciiTheme="minorHAnsi" w:hAnsiTheme="minorHAnsi" w:cstheme="minorHAnsi"/>
                <w:i/>
                <w:iCs/>
              </w:rPr>
            </w:pPr>
            <w:r w:rsidRPr="00FA613E">
              <w:rPr>
                <w:rFonts w:asciiTheme="minorHAnsi" w:hAnsiTheme="minorHAnsi" w:cstheme="minorHAnsi"/>
                <w:i/>
                <w:iCs/>
              </w:rPr>
              <w:t>3. 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7ED8215D" w14:textId="77777777" w:rsidR="00FA613E" w:rsidRDefault="00FA613E" w:rsidP="00FA613E">
            <w:pPr>
              <w:jc w:val="both"/>
              <w:rPr>
                <w:rFonts w:asciiTheme="minorHAnsi" w:hAnsiTheme="minorHAnsi" w:cstheme="minorHAnsi"/>
                <w:i/>
                <w:iCs/>
              </w:rPr>
            </w:pPr>
          </w:p>
          <w:p w14:paraId="3B2D1F41" w14:textId="6AF2FBD9" w:rsidR="007520F6" w:rsidRDefault="007520F6" w:rsidP="00FA613E">
            <w:pPr>
              <w:jc w:val="both"/>
              <w:rPr>
                <w:rFonts w:asciiTheme="minorHAnsi" w:hAnsiTheme="minorHAnsi" w:cstheme="minorHAnsi"/>
              </w:rPr>
            </w:pPr>
            <w:r>
              <w:rPr>
                <w:rFonts w:asciiTheme="minorHAnsi" w:hAnsiTheme="minorHAnsi" w:cstheme="minorHAnsi"/>
              </w:rPr>
              <w:t>The application dwelling fronts Chatburn Road and consequently the proposed first</w:t>
            </w:r>
            <w:r w:rsidR="002B746D">
              <w:rPr>
                <w:rFonts w:asciiTheme="minorHAnsi" w:hAnsiTheme="minorHAnsi" w:cstheme="minorHAnsi"/>
              </w:rPr>
              <w:t>-</w:t>
            </w:r>
            <w:r>
              <w:rPr>
                <w:rFonts w:asciiTheme="minorHAnsi" w:hAnsiTheme="minorHAnsi" w:cstheme="minorHAnsi"/>
              </w:rPr>
              <w:t>floor extension can be afforded high levels of visibility from within the street scene. As such, careful consideration must be given into the impact of the proposal on the character of the area. The first-floor element will be constructed above an existing single-storey side projection. The first-floor element will be set back from the principal building line of the dwelling by approximately 850mm and subsequently the ridge falls below the ridge of the existing dwelling. As a result, the proposed first-floor extension will remain entirely subservient to the application dwelling and will read as a new addition. The proposed single-stor</w:t>
            </w:r>
            <w:r w:rsidR="002B746D">
              <w:rPr>
                <w:rFonts w:asciiTheme="minorHAnsi" w:hAnsiTheme="minorHAnsi" w:cstheme="minorHAnsi"/>
              </w:rPr>
              <w:t>e</w:t>
            </w:r>
            <w:r>
              <w:rPr>
                <w:rFonts w:asciiTheme="minorHAnsi" w:hAnsiTheme="minorHAnsi" w:cstheme="minorHAnsi"/>
              </w:rPr>
              <w:t xml:space="preserve">y extension is sited to the rear of the dwelling and </w:t>
            </w:r>
            <w:r w:rsidR="002B746D">
              <w:rPr>
                <w:rFonts w:asciiTheme="minorHAnsi" w:hAnsiTheme="minorHAnsi" w:cstheme="minorHAnsi"/>
              </w:rPr>
              <w:t>consequently</w:t>
            </w:r>
            <w:r>
              <w:rPr>
                <w:rFonts w:asciiTheme="minorHAnsi" w:hAnsiTheme="minorHAnsi" w:cstheme="minorHAnsi"/>
              </w:rPr>
              <w:t xml:space="preserve"> cannot be seen from within the public realm. Nonetheless, the proposed single-storey element is </w:t>
            </w:r>
            <w:r w:rsidR="002B746D">
              <w:rPr>
                <w:rFonts w:asciiTheme="minorHAnsi" w:hAnsiTheme="minorHAnsi" w:cstheme="minorHAnsi"/>
              </w:rPr>
              <w:t>m</w:t>
            </w:r>
            <w:r>
              <w:rPr>
                <w:rFonts w:asciiTheme="minorHAnsi" w:hAnsiTheme="minorHAnsi" w:cstheme="minorHAnsi"/>
              </w:rPr>
              <w:t xml:space="preserve">odest, measuring just 3.3m in length from the rear elevation of the main dwelling. As such, this part of the proposal is </w:t>
            </w:r>
            <w:r w:rsidR="002B746D">
              <w:rPr>
                <w:rFonts w:asciiTheme="minorHAnsi" w:hAnsiTheme="minorHAnsi" w:cstheme="minorHAnsi"/>
              </w:rPr>
              <w:t>proportionate</w:t>
            </w:r>
            <w:r>
              <w:rPr>
                <w:rFonts w:asciiTheme="minorHAnsi" w:hAnsiTheme="minorHAnsi" w:cstheme="minorHAnsi"/>
              </w:rPr>
              <w:t xml:space="preserve"> when viewed in relation </w:t>
            </w:r>
            <w:r w:rsidR="002B746D">
              <w:rPr>
                <w:rFonts w:asciiTheme="minorHAnsi" w:hAnsiTheme="minorHAnsi" w:cstheme="minorHAnsi"/>
              </w:rPr>
              <w:t xml:space="preserve">to the application dwelling and existing conservatory. </w:t>
            </w:r>
          </w:p>
          <w:p w14:paraId="453FEFF7" w14:textId="77777777" w:rsidR="002B746D" w:rsidRDefault="002B746D" w:rsidP="00FA613E">
            <w:pPr>
              <w:jc w:val="both"/>
              <w:rPr>
                <w:rFonts w:asciiTheme="minorHAnsi" w:hAnsiTheme="minorHAnsi" w:cstheme="minorHAnsi"/>
              </w:rPr>
            </w:pPr>
          </w:p>
          <w:p w14:paraId="46072A78" w14:textId="194DE580" w:rsidR="002B746D" w:rsidRPr="00FA613E" w:rsidRDefault="002B746D" w:rsidP="00FA613E">
            <w:pPr>
              <w:jc w:val="both"/>
              <w:rPr>
                <w:rFonts w:asciiTheme="minorHAnsi" w:hAnsiTheme="minorHAnsi" w:cstheme="minorHAnsi"/>
              </w:rPr>
            </w:pPr>
            <w:r>
              <w:rPr>
                <w:rFonts w:asciiTheme="minorHAnsi" w:hAnsiTheme="minorHAnsi" w:cstheme="minorHAnsi"/>
              </w:rPr>
              <w:t xml:space="preserve">In respect of materials, the proposed development will be constructed using facing brickwork and render to the elevations, uPVC windows and doors and a blue slate roof. This is consistent with the existing dwelling and properties within the vicinity. As such, the proposed development will integrate sufficiently into the area without causing visual harm. </w:t>
            </w:r>
          </w:p>
          <w:p w14:paraId="10A3648A" w14:textId="77777777" w:rsidR="00C0704D" w:rsidRDefault="00C0704D" w:rsidP="005E1C6C">
            <w:pPr>
              <w:contextualSpacing/>
              <w:rPr>
                <w:rFonts w:ascii="Calibri" w:hAnsi="Calibri"/>
                <w:b/>
                <w:szCs w:val="22"/>
              </w:rPr>
            </w:pPr>
          </w:p>
        </w:tc>
      </w:tr>
      <w:tr w:rsidR="00824DB6" w:rsidRPr="00D2449B" w14:paraId="673C0DDB"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243D843" w14:textId="1CB4B93F" w:rsidR="00824DB6" w:rsidRPr="003364CB" w:rsidRDefault="003D5074" w:rsidP="00EA09F9">
            <w:pPr>
              <w:pStyle w:val="Header"/>
              <w:tabs>
                <w:tab w:val="clear" w:pos="4153"/>
                <w:tab w:val="clear" w:pos="8306"/>
              </w:tabs>
              <w:contextualSpacing/>
              <w:jc w:val="both"/>
              <w:rPr>
                <w:rFonts w:ascii="Calibri" w:hAnsi="Calibri"/>
                <w:bCs/>
                <w:szCs w:val="22"/>
              </w:rPr>
            </w:pPr>
            <w:r w:rsidRPr="003364CB">
              <w:rPr>
                <w:rFonts w:ascii="Calibri" w:hAnsi="Calibri"/>
                <w:bCs/>
                <w:szCs w:val="22"/>
              </w:rPr>
              <w:t xml:space="preserve">LCC Highways were consulted in </w:t>
            </w:r>
            <w:r w:rsidR="003364CB" w:rsidRPr="003364CB">
              <w:rPr>
                <w:rFonts w:ascii="Calibri" w:hAnsi="Calibri"/>
                <w:bCs/>
                <w:szCs w:val="22"/>
              </w:rPr>
              <w:t>relation</w:t>
            </w:r>
            <w:r w:rsidRPr="003364CB">
              <w:rPr>
                <w:rFonts w:ascii="Calibri" w:hAnsi="Calibri"/>
                <w:bCs/>
                <w:szCs w:val="22"/>
              </w:rPr>
              <w:t xml:space="preserve"> </w:t>
            </w:r>
            <w:r w:rsidR="003364CB" w:rsidRPr="003364CB">
              <w:rPr>
                <w:rFonts w:ascii="Calibri" w:hAnsi="Calibri"/>
                <w:bCs/>
                <w:szCs w:val="22"/>
              </w:rPr>
              <w:t>to</w:t>
            </w:r>
            <w:r w:rsidRPr="003364CB">
              <w:rPr>
                <w:rFonts w:ascii="Calibri" w:hAnsi="Calibri"/>
                <w:bCs/>
                <w:szCs w:val="22"/>
              </w:rPr>
              <w:t xml:space="preserve"> the </w:t>
            </w:r>
            <w:r w:rsidR="003364CB" w:rsidRPr="003364CB">
              <w:rPr>
                <w:rFonts w:ascii="Calibri" w:hAnsi="Calibri"/>
                <w:bCs/>
                <w:szCs w:val="22"/>
              </w:rPr>
              <w:t>proposal</w:t>
            </w:r>
            <w:r w:rsidRPr="003364CB">
              <w:rPr>
                <w:rFonts w:ascii="Calibri" w:hAnsi="Calibri"/>
                <w:bCs/>
                <w:szCs w:val="22"/>
              </w:rPr>
              <w:t xml:space="preserve"> and </w:t>
            </w:r>
            <w:r w:rsidR="003364CB" w:rsidRPr="003364CB">
              <w:rPr>
                <w:rFonts w:ascii="Calibri" w:hAnsi="Calibri"/>
                <w:bCs/>
                <w:szCs w:val="22"/>
              </w:rPr>
              <w:t>raise</w:t>
            </w:r>
            <w:r w:rsidRPr="003364CB">
              <w:rPr>
                <w:rFonts w:ascii="Calibri" w:hAnsi="Calibri"/>
                <w:bCs/>
                <w:szCs w:val="22"/>
              </w:rPr>
              <w:t xml:space="preserve"> no </w:t>
            </w:r>
            <w:r w:rsidR="003364CB" w:rsidRPr="003364CB">
              <w:rPr>
                <w:rFonts w:ascii="Calibri" w:hAnsi="Calibri"/>
                <w:bCs/>
                <w:szCs w:val="22"/>
              </w:rPr>
              <w:t xml:space="preserve">objection on highways safety grounds subject to the imposition of conditions relating to the submission of a construction management plan. However, given the modest nature of the development, taking into consideration development that could be carried out under PD, it is not considered there is justification to impose this condition in this instance. </w:t>
            </w:r>
          </w:p>
          <w:p w14:paraId="337694ED" w14:textId="3553401A" w:rsidR="003364CB" w:rsidRDefault="003364CB"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0EAB9D20" w14:textId="10420F04" w:rsidR="00681229" w:rsidRPr="00681229" w:rsidRDefault="00681229" w:rsidP="00EA09F9">
            <w:pPr>
              <w:pStyle w:val="Header"/>
              <w:tabs>
                <w:tab w:val="clear" w:pos="4153"/>
                <w:tab w:val="clear" w:pos="8306"/>
              </w:tabs>
              <w:contextualSpacing/>
              <w:jc w:val="both"/>
              <w:rPr>
                <w:rFonts w:ascii="Calibri" w:hAnsi="Calibri"/>
                <w:bCs/>
                <w:szCs w:val="22"/>
                <w:u w:val="single"/>
              </w:rPr>
            </w:pPr>
            <w:r w:rsidRPr="00681229">
              <w:rPr>
                <w:rFonts w:ascii="Calibri" w:hAnsi="Calibri"/>
                <w:bCs/>
                <w:szCs w:val="22"/>
                <w:u w:val="single"/>
              </w:rPr>
              <w:t>Biodiversity</w:t>
            </w:r>
          </w:p>
          <w:p w14:paraId="0263A319" w14:textId="77777777" w:rsidR="00681229" w:rsidRPr="00681229" w:rsidRDefault="00681229" w:rsidP="00EA09F9">
            <w:pPr>
              <w:pStyle w:val="Header"/>
              <w:tabs>
                <w:tab w:val="clear" w:pos="4153"/>
                <w:tab w:val="clear" w:pos="8306"/>
              </w:tabs>
              <w:contextualSpacing/>
              <w:jc w:val="both"/>
              <w:rPr>
                <w:rFonts w:ascii="Calibri" w:hAnsi="Calibri"/>
                <w:bCs/>
                <w:szCs w:val="22"/>
              </w:rPr>
            </w:pPr>
          </w:p>
          <w:p w14:paraId="6EF86BD7" w14:textId="23189556" w:rsidR="00681229" w:rsidRPr="00681229" w:rsidRDefault="00681229" w:rsidP="00EA09F9">
            <w:pPr>
              <w:pStyle w:val="Header"/>
              <w:tabs>
                <w:tab w:val="clear" w:pos="4153"/>
                <w:tab w:val="clear" w:pos="8306"/>
              </w:tabs>
              <w:contextualSpacing/>
              <w:jc w:val="both"/>
              <w:rPr>
                <w:rFonts w:ascii="Calibri" w:hAnsi="Calibri"/>
                <w:bCs/>
                <w:szCs w:val="22"/>
              </w:rPr>
            </w:pPr>
            <w:r w:rsidRPr="00681229">
              <w:rPr>
                <w:rFonts w:ascii="Calibri" w:hAnsi="Calibri"/>
                <w:bCs/>
                <w:szCs w:val="22"/>
              </w:rPr>
              <w:t>The development is exempt from having to achieve the mandatory Biodiversity Net Gain requirement as it is a householder application</w:t>
            </w:r>
            <w:r>
              <w:rPr>
                <w:rFonts w:ascii="Calibri" w:hAnsi="Calibri"/>
                <w:bCs/>
                <w:szCs w:val="22"/>
              </w:rPr>
              <w:t>.</w:t>
            </w:r>
          </w:p>
          <w:p w14:paraId="0FE49906" w14:textId="77777777" w:rsidR="00681229" w:rsidRPr="00681229" w:rsidRDefault="00681229" w:rsidP="00EA09F9">
            <w:pPr>
              <w:pStyle w:val="Header"/>
              <w:tabs>
                <w:tab w:val="clear" w:pos="4153"/>
                <w:tab w:val="clear" w:pos="8306"/>
              </w:tabs>
              <w:contextualSpacing/>
              <w:jc w:val="both"/>
              <w:rPr>
                <w:rFonts w:ascii="Calibri" w:hAnsi="Calibri"/>
                <w:bCs/>
                <w:szCs w:val="22"/>
              </w:rPr>
            </w:pPr>
          </w:p>
          <w:p w14:paraId="58CAE563" w14:textId="30017034" w:rsidR="00681229" w:rsidRPr="00681229" w:rsidRDefault="00681229" w:rsidP="00EA09F9">
            <w:pPr>
              <w:pStyle w:val="Header"/>
              <w:tabs>
                <w:tab w:val="clear" w:pos="4153"/>
                <w:tab w:val="clear" w:pos="8306"/>
              </w:tabs>
              <w:contextualSpacing/>
              <w:jc w:val="both"/>
              <w:rPr>
                <w:rFonts w:ascii="Calibri" w:hAnsi="Calibri"/>
                <w:bCs/>
                <w:szCs w:val="22"/>
                <w:u w:val="single"/>
              </w:rPr>
            </w:pPr>
            <w:r w:rsidRPr="00681229">
              <w:rPr>
                <w:rFonts w:ascii="Calibri" w:hAnsi="Calibri"/>
                <w:bCs/>
                <w:szCs w:val="22"/>
                <w:u w:val="single"/>
              </w:rPr>
              <w:t>Bats</w:t>
            </w:r>
          </w:p>
          <w:p w14:paraId="4BB86182" w14:textId="77777777" w:rsidR="00C0704D" w:rsidRDefault="00C0704D" w:rsidP="00E46243">
            <w:pPr>
              <w:contextualSpacing/>
              <w:rPr>
                <w:rFonts w:ascii="Calibri" w:hAnsi="Calibri"/>
                <w:b/>
                <w:szCs w:val="22"/>
              </w:rPr>
            </w:pPr>
          </w:p>
          <w:p w14:paraId="08EAD08C" w14:textId="33B7E7FB" w:rsidR="007520F6" w:rsidRPr="007520F6" w:rsidRDefault="007520F6" w:rsidP="00E46243">
            <w:pPr>
              <w:contextualSpacing/>
              <w:rPr>
                <w:rFonts w:ascii="Calibri" w:hAnsi="Calibri"/>
                <w:bCs/>
                <w:szCs w:val="22"/>
              </w:rPr>
            </w:pPr>
            <w:r w:rsidRPr="007520F6">
              <w:rPr>
                <w:rFonts w:ascii="Calibri" w:hAnsi="Calibri"/>
                <w:bCs/>
                <w:szCs w:val="22"/>
              </w:rPr>
              <w:t xml:space="preserve">A preliminary bat roost assessment was conducted at the application site on 04.11.2024. The survey concluded that no evidence of bats was recorded, and the building itself offers negligible roosting potential. </w:t>
            </w:r>
          </w:p>
          <w:p w14:paraId="6337C4D8" w14:textId="7CC53103" w:rsidR="007520F6" w:rsidRDefault="007520F6" w:rsidP="00E46243">
            <w:pPr>
              <w:contextualSpacing/>
              <w:rPr>
                <w:rFonts w:ascii="Calibri" w:hAnsi="Calibri"/>
                <w:b/>
                <w:szCs w:val="22"/>
              </w:rPr>
            </w:pPr>
          </w:p>
        </w:tc>
      </w:tr>
      <w:tr w:rsidR="00C0704D" w:rsidRPr="00D2449B" w14:paraId="0A9D02B4"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A3D07BF" w14:textId="77777777" w:rsidR="009F4443" w:rsidRDefault="00B57484" w:rsidP="00DD62F6">
            <w:pPr>
              <w:pStyle w:val="Header"/>
              <w:tabs>
                <w:tab w:val="clear" w:pos="4153"/>
                <w:tab w:val="clear" w:pos="8306"/>
              </w:tabs>
              <w:contextualSpacing/>
              <w:jc w:val="both"/>
              <w:rPr>
                <w:rFonts w:ascii="Calibri" w:hAnsi="Calibri"/>
                <w:bCs/>
                <w:szCs w:val="22"/>
              </w:rPr>
            </w:pPr>
            <w:r w:rsidRPr="00B57484">
              <w:rPr>
                <w:rFonts w:ascii="Calibri" w:hAnsi="Calibri"/>
                <w:bCs/>
                <w:szCs w:val="22"/>
              </w:rPr>
              <w:t>As such, for the above reasons and having regard to all material considerations and matters raised that the application is recommended for approval.</w:t>
            </w:r>
          </w:p>
          <w:p w14:paraId="3A4BD7A7" w14:textId="216893E0" w:rsidR="00B57484" w:rsidRDefault="00B57484"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CA6C21">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6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CA6C21">
        <w:trPr>
          <w:jc w:val="center"/>
        </w:trPr>
        <w:tc>
          <w:tcPr>
            <w:tcW w:w="995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055B60" w:rsidR="00773A66" w:rsidRPr="00D2449B" w:rsidRDefault="00B57484" w:rsidP="00CD2CEF">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872C52" w:rsidRPr="00D2449B" w:rsidRDefault="00872C52">
      <w:pPr>
        <w:rPr>
          <w:rFonts w:ascii="Calibri" w:hAnsi="Calibri"/>
          <w:szCs w:val="22"/>
        </w:rPr>
      </w:pPr>
    </w:p>
    <w:sectPr w:rsidR="00872C52"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0751"/>
    <w:rsid w:val="0009060D"/>
    <w:rsid w:val="000B5CB5"/>
    <w:rsid w:val="00130035"/>
    <w:rsid w:val="001D4F7A"/>
    <w:rsid w:val="0023749B"/>
    <w:rsid w:val="00250879"/>
    <w:rsid w:val="0029334A"/>
    <w:rsid w:val="002A01CF"/>
    <w:rsid w:val="002A06C2"/>
    <w:rsid w:val="002B746D"/>
    <w:rsid w:val="002C6277"/>
    <w:rsid w:val="002F2580"/>
    <w:rsid w:val="00321B6E"/>
    <w:rsid w:val="003364CB"/>
    <w:rsid w:val="003D5074"/>
    <w:rsid w:val="00440CB6"/>
    <w:rsid w:val="0046548C"/>
    <w:rsid w:val="004947BB"/>
    <w:rsid w:val="004A5EA9"/>
    <w:rsid w:val="004C2434"/>
    <w:rsid w:val="004F0649"/>
    <w:rsid w:val="004F2EFE"/>
    <w:rsid w:val="005008EC"/>
    <w:rsid w:val="00510FA2"/>
    <w:rsid w:val="00556ECD"/>
    <w:rsid w:val="00576C1E"/>
    <w:rsid w:val="00577C0D"/>
    <w:rsid w:val="005E1C6C"/>
    <w:rsid w:val="005E65DF"/>
    <w:rsid w:val="00607489"/>
    <w:rsid w:val="00616F9B"/>
    <w:rsid w:val="00681229"/>
    <w:rsid w:val="00692B60"/>
    <w:rsid w:val="006A71AD"/>
    <w:rsid w:val="006C2BFA"/>
    <w:rsid w:val="006F6849"/>
    <w:rsid w:val="0070054B"/>
    <w:rsid w:val="007520F6"/>
    <w:rsid w:val="00773A66"/>
    <w:rsid w:val="00776AE2"/>
    <w:rsid w:val="007C791C"/>
    <w:rsid w:val="007D7DF4"/>
    <w:rsid w:val="007E0D23"/>
    <w:rsid w:val="007F16D6"/>
    <w:rsid w:val="00811771"/>
    <w:rsid w:val="00824DB6"/>
    <w:rsid w:val="00837F4F"/>
    <w:rsid w:val="0084491F"/>
    <w:rsid w:val="008542DE"/>
    <w:rsid w:val="00872C52"/>
    <w:rsid w:val="008A28C8"/>
    <w:rsid w:val="00992C6F"/>
    <w:rsid w:val="009F4443"/>
    <w:rsid w:val="00A42E82"/>
    <w:rsid w:val="00A579BB"/>
    <w:rsid w:val="00A63D55"/>
    <w:rsid w:val="00A95D89"/>
    <w:rsid w:val="00B57484"/>
    <w:rsid w:val="00B76166"/>
    <w:rsid w:val="00B93EB5"/>
    <w:rsid w:val="00BD3F03"/>
    <w:rsid w:val="00C0704D"/>
    <w:rsid w:val="00C17D91"/>
    <w:rsid w:val="00C25722"/>
    <w:rsid w:val="00C618DB"/>
    <w:rsid w:val="00CA6C21"/>
    <w:rsid w:val="00D11007"/>
    <w:rsid w:val="00D17EB1"/>
    <w:rsid w:val="00D2449B"/>
    <w:rsid w:val="00D54E67"/>
    <w:rsid w:val="00DD62F6"/>
    <w:rsid w:val="00E46243"/>
    <w:rsid w:val="00E66534"/>
    <w:rsid w:val="00E72F6C"/>
    <w:rsid w:val="00EA09F9"/>
    <w:rsid w:val="00EC23C7"/>
    <w:rsid w:val="00ED00B7"/>
    <w:rsid w:val="00ED6CE3"/>
    <w:rsid w:val="00EF44E6"/>
    <w:rsid w:val="00F069EE"/>
    <w:rsid w:val="00F15AA3"/>
    <w:rsid w:val="00F62B54"/>
    <w:rsid w:val="00FA613E"/>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176870">
      <w:bodyDiv w:val="1"/>
      <w:marLeft w:val="0"/>
      <w:marRight w:val="0"/>
      <w:marTop w:val="0"/>
      <w:marBottom w:val="0"/>
      <w:divBdr>
        <w:top w:val="none" w:sz="0" w:space="0" w:color="auto"/>
        <w:left w:val="none" w:sz="0" w:space="0" w:color="auto"/>
        <w:bottom w:val="none" w:sz="0" w:space="0" w:color="auto"/>
        <w:right w:val="none" w:sz="0" w:space="0" w:color="auto"/>
      </w:divBdr>
    </w:div>
    <w:div w:id="8292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Carly Miskell</cp:lastModifiedBy>
  <cp:revision>2</cp:revision>
  <cp:lastPrinted>2025-01-31T11:02:00Z</cp:lastPrinted>
  <dcterms:created xsi:type="dcterms:W3CDTF">2025-01-31T11:05:00Z</dcterms:created>
  <dcterms:modified xsi:type="dcterms:W3CDTF">2025-01-31T11:05:00Z</dcterms:modified>
</cp:coreProperties>
</file>