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9"/>
        <w:gridCol w:w="1024"/>
        <w:gridCol w:w="139"/>
        <w:gridCol w:w="36"/>
        <w:gridCol w:w="658"/>
        <w:gridCol w:w="193"/>
        <w:gridCol w:w="473"/>
        <w:gridCol w:w="678"/>
        <w:gridCol w:w="686"/>
        <w:gridCol w:w="592"/>
        <w:gridCol w:w="901"/>
        <w:gridCol w:w="545"/>
        <w:gridCol w:w="960"/>
        <w:gridCol w:w="992"/>
        <w:gridCol w:w="1062"/>
      </w:tblGrid>
      <w:tr w:rsidR="004A5EA9" w:rsidRPr="00D2449B" w14:paraId="230E00AF"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A1EB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3D6AF8" w:rsidRDefault="00837F4F" w:rsidP="00D2449B">
            <w:pPr>
              <w:jc w:val="center"/>
              <w:rPr>
                <w:rFonts w:ascii="Calibri" w:hAnsi="Calibri"/>
                <w:b/>
                <w:szCs w:val="22"/>
              </w:rPr>
            </w:pPr>
            <w:r w:rsidRPr="003D6AF8">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3D6AF8" w:rsidRDefault="00837F4F" w:rsidP="00D2449B">
            <w:pPr>
              <w:jc w:val="center"/>
              <w:rPr>
                <w:rFonts w:ascii="Calibri" w:hAnsi="Calibri"/>
                <w:b/>
                <w:szCs w:val="22"/>
              </w:rPr>
            </w:pPr>
            <w:r w:rsidRPr="003D6AF8">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304B890" w:rsidR="00837F4F" w:rsidRPr="003D6AF8" w:rsidRDefault="009624A5" w:rsidP="00D2449B">
            <w:pPr>
              <w:jc w:val="center"/>
              <w:rPr>
                <w:rFonts w:ascii="Calibri" w:hAnsi="Calibri"/>
                <w:bCs/>
                <w:szCs w:val="22"/>
              </w:rPr>
            </w:pPr>
            <w:r w:rsidRPr="003D6AF8">
              <w:rPr>
                <w:rFonts w:ascii="Calibri" w:hAnsi="Calibri"/>
                <w:bCs/>
                <w:szCs w:val="22"/>
              </w:rPr>
              <w:t>MC</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3D6AF8" w:rsidRDefault="00837F4F" w:rsidP="00D2449B">
            <w:pPr>
              <w:jc w:val="center"/>
              <w:rPr>
                <w:rFonts w:ascii="Calibri" w:hAnsi="Calibri"/>
                <w:b/>
                <w:szCs w:val="22"/>
              </w:rPr>
            </w:pPr>
            <w:r w:rsidRPr="003D6AF8">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738E314" w:rsidR="00837F4F" w:rsidRPr="003D6AF8" w:rsidRDefault="003D6AF8" w:rsidP="00D2449B">
            <w:pPr>
              <w:jc w:val="center"/>
              <w:rPr>
                <w:rFonts w:ascii="Calibri" w:hAnsi="Calibri"/>
                <w:bCs/>
                <w:szCs w:val="22"/>
              </w:rPr>
            </w:pPr>
            <w:r w:rsidRPr="003D6AF8">
              <w:rPr>
                <w:rFonts w:ascii="Calibri" w:hAnsi="Calibri"/>
                <w:bCs/>
                <w:szCs w:val="22"/>
              </w:rPr>
              <w:t>14/02/2025</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8D50109" w:rsidR="00837F4F" w:rsidRPr="00D2449B" w:rsidRDefault="0066202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DFBC5A4" w:rsidR="00837F4F" w:rsidRPr="00D2449B" w:rsidRDefault="00662024" w:rsidP="00D2449B">
            <w:pPr>
              <w:jc w:val="center"/>
              <w:rPr>
                <w:rFonts w:ascii="Calibri" w:hAnsi="Calibri"/>
                <w:b/>
                <w:szCs w:val="22"/>
              </w:rPr>
            </w:pPr>
            <w:r>
              <w:rPr>
                <w:rFonts w:ascii="Calibri" w:hAnsi="Calibri"/>
                <w:b/>
                <w:szCs w:val="22"/>
              </w:rPr>
              <w:t>17/2/25</w:t>
            </w:r>
          </w:p>
        </w:tc>
      </w:tr>
      <w:tr w:rsidR="004A5EA9" w:rsidRPr="00D2449B" w14:paraId="2094A164" w14:textId="77777777" w:rsidTr="000A1EB2">
        <w:trPr>
          <w:jc w:val="center"/>
        </w:trPr>
        <w:tc>
          <w:tcPr>
            <w:tcW w:w="99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A1EB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8822BE5" w:rsidR="004A5EA9" w:rsidRPr="00250879" w:rsidRDefault="006E2F86" w:rsidP="008542DE">
            <w:pPr>
              <w:rPr>
                <w:rFonts w:ascii="Calibri" w:hAnsi="Calibri"/>
                <w:color w:val="548DD4" w:themeColor="text2" w:themeTint="99"/>
                <w:szCs w:val="22"/>
              </w:rPr>
            </w:pPr>
            <w:r w:rsidRPr="006E2F86">
              <w:rPr>
                <w:rFonts w:ascii="Calibri" w:hAnsi="Calibri"/>
                <w:szCs w:val="22"/>
              </w:rPr>
              <w:t>3/2024/0</w:t>
            </w:r>
            <w:r w:rsidR="009877AA">
              <w:rPr>
                <w:rFonts w:ascii="Calibri" w:hAnsi="Calibri"/>
                <w:szCs w:val="22"/>
              </w:rPr>
              <w:t>976</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A1EB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F1F2A" w:rsidRDefault="00824DB6">
            <w:pPr>
              <w:rPr>
                <w:rFonts w:ascii="Calibri" w:hAnsi="Calibri"/>
                <w:b/>
                <w:szCs w:val="22"/>
              </w:rPr>
            </w:pPr>
            <w:r w:rsidRPr="00DF1F2A">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6EA5907" w:rsidR="00824DB6" w:rsidRPr="00CC4EA5" w:rsidRDefault="00CC4EA5" w:rsidP="002C6277">
            <w:pPr>
              <w:rPr>
                <w:rFonts w:ascii="Calibri" w:hAnsi="Calibri"/>
                <w:szCs w:val="22"/>
              </w:rPr>
            </w:pPr>
            <w:r w:rsidRPr="00CC4EA5">
              <w:rPr>
                <w:rFonts w:ascii="Calibri" w:hAnsi="Calibri"/>
                <w:szCs w:val="22"/>
              </w:rPr>
              <w:t>12/12/2024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CC4EA5" w:rsidRDefault="00824DB6" w:rsidP="002C6277">
            <w:pPr>
              <w:rPr>
                <w:rFonts w:ascii="Calibri" w:hAnsi="Calibri"/>
                <w:b/>
                <w:bCs/>
                <w:szCs w:val="22"/>
              </w:rPr>
            </w:pPr>
            <w:r w:rsidRPr="00CC4EA5">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7E0293F" w:rsidR="00824DB6" w:rsidRPr="00CC4EA5" w:rsidRDefault="00CC4EA5" w:rsidP="002C6277">
            <w:pPr>
              <w:rPr>
                <w:rFonts w:ascii="Calibri" w:hAnsi="Calibri"/>
                <w:szCs w:val="22"/>
              </w:rPr>
            </w:pPr>
            <w:r w:rsidRPr="00CC4EA5">
              <w:rPr>
                <w:rFonts w:ascii="Calibri" w:hAnsi="Calibri"/>
                <w:szCs w:val="22"/>
              </w:rPr>
              <w:t>12/12/2024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A1EB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7946582" w:rsidR="004A5EA9" w:rsidRPr="00C159CF" w:rsidRDefault="006E2F86" w:rsidP="00811771">
            <w:pPr>
              <w:rPr>
                <w:rFonts w:ascii="Calibri" w:hAnsi="Calibri"/>
                <w:szCs w:val="22"/>
              </w:rPr>
            </w:pPr>
            <w:r>
              <w:rPr>
                <w:rFonts w:ascii="Calibri" w:hAnsi="Calibri"/>
                <w:szCs w:val="22"/>
              </w:rPr>
              <w:t>MC</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A1EB2">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A5462C3" w:rsidR="004A5EA9" w:rsidRPr="00D2449B" w:rsidRDefault="009624A5" w:rsidP="002A01CF">
            <w:pPr>
              <w:jc w:val="center"/>
              <w:rPr>
                <w:rFonts w:ascii="Calibri" w:hAnsi="Calibri"/>
                <w:b/>
                <w:szCs w:val="22"/>
              </w:rPr>
            </w:pPr>
            <w:r>
              <w:rPr>
                <w:rFonts w:ascii="Calibri" w:hAnsi="Calibri"/>
                <w:b/>
                <w:szCs w:val="22"/>
              </w:rPr>
              <w:t>APPROVAL</w:t>
            </w:r>
          </w:p>
        </w:tc>
      </w:tr>
      <w:tr w:rsidR="004A5EA9" w:rsidRPr="00D2449B" w14:paraId="7813B96A" w14:textId="77777777" w:rsidTr="000A1EB2">
        <w:trPr>
          <w:trHeight w:hRule="exact" w:val="170"/>
          <w:jc w:val="center"/>
        </w:trPr>
        <w:tc>
          <w:tcPr>
            <w:tcW w:w="99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A1EB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5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1C18860" w:rsidR="004A5EA9" w:rsidRPr="002C6277" w:rsidRDefault="006E2F86" w:rsidP="005F488D">
            <w:pPr>
              <w:jc w:val="both"/>
              <w:rPr>
                <w:rFonts w:ascii="Calibri" w:hAnsi="Calibri"/>
                <w:szCs w:val="22"/>
              </w:rPr>
            </w:pPr>
            <w:r w:rsidRPr="006E2F86">
              <w:rPr>
                <w:rFonts w:ascii="Calibri" w:hAnsi="Calibri"/>
                <w:szCs w:val="22"/>
              </w:rPr>
              <w:t xml:space="preserve">Permission in Principle for </w:t>
            </w:r>
            <w:r w:rsidR="009877AA">
              <w:rPr>
                <w:rFonts w:ascii="Calibri" w:hAnsi="Calibri"/>
                <w:szCs w:val="22"/>
              </w:rPr>
              <w:t>the erection of one dwelling.</w:t>
            </w:r>
          </w:p>
        </w:tc>
      </w:tr>
      <w:tr w:rsidR="002A01CF" w:rsidRPr="00D2449B" w14:paraId="52988241" w14:textId="77777777" w:rsidTr="000A1EB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5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DC11158" w:rsidR="002A01CF" w:rsidRPr="009877AA" w:rsidRDefault="009877AA" w:rsidP="00A42E82">
            <w:pPr>
              <w:rPr>
                <w:rFonts w:ascii="Calibri" w:hAnsi="Calibri"/>
                <w:szCs w:val="22"/>
              </w:rPr>
            </w:pPr>
            <w:r w:rsidRPr="009877AA">
              <w:rPr>
                <w:rFonts w:ascii="Calibri" w:hAnsi="Calibri"/>
                <w:szCs w:val="22"/>
              </w:rPr>
              <w:t>The Stables Chaigley Road Longridge PR3 3TQ</w:t>
            </w:r>
          </w:p>
        </w:tc>
      </w:tr>
      <w:tr w:rsidR="00A95D89" w:rsidRPr="00D2449B" w14:paraId="3FB99B2E" w14:textId="77777777" w:rsidTr="000A1EB2">
        <w:trPr>
          <w:trHeight w:hRule="exact" w:val="170"/>
          <w:jc w:val="center"/>
        </w:trPr>
        <w:tc>
          <w:tcPr>
            <w:tcW w:w="99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A1EB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5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834CDAA" w:rsidR="002A01CF" w:rsidRPr="0084226E" w:rsidRDefault="00C4452C">
            <w:pPr>
              <w:rPr>
                <w:rFonts w:ascii="Calibri" w:hAnsi="Calibri"/>
                <w:bCs/>
                <w:szCs w:val="22"/>
              </w:rPr>
            </w:pPr>
            <w:r w:rsidRPr="00C4452C">
              <w:rPr>
                <w:rFonts w:ascii="Calibri" w:hAnsi="Calibri"/>
                <w:bCs/>
                <w:szCs w:val="22"/>
              </w:rPr>
              <w:t>Thornley with Wheatley PC has considered this Permission in Principle application and no issues have been raised.</w:t>
            </w:r>
          </w:p>
        </w:tc>
      </w:tr>
      <w:tr w:rsidR="00C618DB" w:rsidRPr="00D2449B" w14:paraId="639E958B" w14:textId="77777777" w:rsidTr="000A1EB2">
        <w:trPr>
          <w:trHeight w:hRule="exact" w:val="170"/>
          <w:jc w:val="center"/>
        </w:trPr>
        <w:tc>
          <w:tcPr>
            <w:tcW w:w="99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A1EB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5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A1EB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CC4EA5" w:rsidRDefault="002A01CF">
            <w:pPr>
              <w:rPr>
                <w:rFonts w:ascii="Calibri" w:hAnsi="Calibri"/>
                <w:b/>
                <w:szCs w:val="22"/>
                <w:highlight w:val="yellow"/>
              </w:rPr>
            </w:pPr>
            <w:r w:rsidRPr="00F92F3D">
              <w:rPr>
                <w:rFonts w:ascii="Calibri" w:hAnsi="Calibri"/>
                <w:b/>
                <w:szCs w:val="22"/>
              </w:rPr>
              <w:t>LCC Highways:</w:t>
            </w:r>
          </w:p>
        </w:tc>
        <w:tc>
          <w:tcPr>
            <w:tcW w:w="705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9E7B137" w:rsidR="002A01CF" w:rsidRPr="00F92F3D" w:rsidRDefault="00F92F3D" w:rsidP="00F92F3D">
            <w:pPr>
              <w:pStyle w:val="Header"/>
              <w:tabs>
                <w:tab w:val="clear" w:pos="4153"/>
                <w:tab w:val="clear" w:pos="8306"/>
              </w:tabs>
              <w:contextualSpacing/>
              <w:jc w:val="both"/>
              <w:rPr>
                <w:rFonts w:ascii="Calibri" w:hAnsi="Calibri"/>
                <w:bCs/>
                <w:szCs w:val="22"/>
              </w:rPr>
            </w:pPr>
            <w:r>
              <w:rPr>
                <w:rFonts w:ascii="Calibri" w:hAnsi="Calibri"/>
                <w:bCs/>
                <w:szCs w:val="22"/>
              </w:rPr>
              <w:t>Recommends conditions</w:t>
            </w:r>
            <w:r w:rsidRPr="00C4452C">
              <w:rPr>
                <w:rFonts w:ascii="Calibri" w:hAnsi="Calibri"/>
                <w:bCs/>
                <w:szCs w:val="22"/>
              </w:rPr>
              <w:t xml:space="preserve"> be added to any grant of permission.</w:t>
            </w:r>
            <w:r>
              <w:rPr>
                <w:rFonts w:ascii="Calibri" w:hAnsi="Calibri"/>
                <w:bCs/>
                <w:szCs w:val="22"/>
              </w:rPr>
              <w:t xml:space="preserve"> The proposed conditions </w:t>
            </w:r>
            <w:r w:rsidRPr="00C4452C">
              <w:rPr>
                <w:rFonts w:ascii="Calibri" w:hAnsi="Calibri"/>
                <w:bCs/>
                <w:szCs w:val="22"/>
              </w:rPr>
              <w:t xml:space="preserve">relate to the submission and approval of a Construction Traffic Management Plan, car parking provision, cycle storage provision, retention of the garage for parking of vehicles and surfacing of the access. </w:t>
            </w:r>
          </w:p>
        </w:tc>
      </w:tr>
      <w:tr w:rsidR="00C0704D" w:rsidRPr="00D2449B" w14:paraId="62663AAF"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15CCF1C1" w:rsidR="005F488D" w:rsidRPr="00C0704D" w:rsidRDefault="005F488D" w:rsidP="001F3A02">
            <w:pPr>
              <w:jc w:val="both"/>
              <w:rPr>
                <w:rFonts w:ascii="Calibri" w:hAnsi="Calibri"/>
                <w:szCs w:val="22"/>
              </w:rPr>
            </w:pPr>
          </w:p>
        </w:tc>
      </w:tr>
      <w:tr w:rsidR="00C0704D" w:rsidRPr="00D2449B" w14:paraId="29EBDA1F" w14:textId="77777777" w:rsidTr="000A1EB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5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8638B3" w14:textId="1BC187B2" w:rsidR="00C0704D" w:rsidRDefault="009C36E4" w:rsidP="00692B60">
            <w:pPr>
              <w:rPr>
                <w:rFonts w:ascii="Calibri" w:hAnsi="Calibri"/>
                <w:bCs/>
                <w:szCs w:val="22"/>
              </w:rPr>
            </w:pPr>
            <w:r>
              <w:rPr>
                <w:rFonts w:ascii="Calibri" w:hAnsi="Calibri"/>
                <w:bCs/>
                <w:szCs w:val="22"/>
              </w:rPr>
              <w:t>Two</w:t>
            </w:r>
            <w:r w:rsidR="00DE573F">
              <w:rPr>
                <w:rFonts w:ascii="Calibri" w:hAnsi="Calibri"/>
                <w:bCs/>
                <w:szCs w:val="22"/>
              </w:rPr>
              <w:t xml:space="preserve"> objections have been received in response to the application raising the following issues/comments:</w:t>
            </w:r>
          </w:p>
          <w:p w14:paraId="1E4979C5" w14:textId="77777777" w:rsidR="00DE573F" w:rsidRDefault="00DE573F" w:rsidP="00692B60">
            <w:pPr>
              <w:rPr>
                <w:rFonts w:ascii="Calibri" w:hAnsi="Calibri"/>
                <w:szCs w:val="22"/>
              </w:rPr>
            </w:pPr>
          </w:p>
          <w:p w14:paraId="1CF292B0" w14:textId="1E2D7C20" w:rsidR="00DE573F" w:rsidRDefault="00404D7E" w:rsidP="00404D7E">
            <w:pPr>
              <w:pStyle w:val="ListParagraph"/>
              <w:numPr>
                <w:ilvl w:val="0"/>
                <w:numId w:val="11"/>
              </w:numPr>
              <w:rPr>
                <w:rFonts w:ascii="Calibri" w:hAnsi="Calibri"/>
                <w:szCs w:val="22"/>
              </w:rPr>
            </w:pPr>
            <w:r w:rsidRPr="00404D7E">
              <w:rPr>
                <w:rFonts w:ascii="Calibri" w:hAnsi="Calibri"/>
                <w:szCs w:val="22"/>
              </w:rPr>
              <w:t>c</w:t>
            </w:r>
            <w:r w:rsidR="00DE573F" w:rsidRPr="00404D7E">
              <w:rPr>
                <w:rFonts w:ascii="Calibri" w:hAnsi="Calibri"/>
                <w:szCs w:val="22"/>
              </w:rPr>
              <w:t xml:space="preserve">oncerns regarding cumulative impact of residential development (123 new houses granted under planning ref: 3/2021/0556) </w:t>
            </w:r>
            <w:r w:rsidRPr="00404D7E">
              <w:rPr>
                <w:rFonts w:ascii="Calibri" w:hAnsi="Calibri"/>
                <w:szCs w:val="22"/>
              </w:rPr>
              <w:t>within</w:t>
            </w:r>
            <w:r w:rsidR="00DE573F" w:rsidRPr="00404D7E">
              <w:rPr>
                <w:rFonts w:ascii="Calibri" w:hAnsi="Calibri"/>
                <w:szCs w:val="22"/>
              </w:rPr>
              <w:t xml:space="preserve"> the site entrance/exit onto Higher Road. </w:t>
            </w:r>
          </w:p>
          <w:p w14:paraId="14AE3361" w14:textId="4D70EE07" w:rsidR="00404D7E" w:rsidRDefault="00404D7E" w:rsidP="00692B60">
            <w:pPr>
              <w:pStyle w:val="ListParagraph"/>
              <w:numPr>
                <w:ilvl w:val="0"/>
                <w:numId w:val="11"/>
              </w:numPr>
              <w:rPr>
                <w:rFonts w:ascii="Calibri" w:hAnsi="Calibri"/>
                <w:szCs w:val="22"/>
              </w:rPr>
            </w:pPr>
            <w:r w:rsidRPr="00404D7E">
              <w:rPr>
                <w:rFonts w:ascii="Calibri" w:hAnsi="Calibri"/>
                <w:szCs w:val="22"/>
              </w:rPr>
              <w:t xml:space="preserve">further loss of countryside </w:t>
            </w:r>
          </w:p>
          <w:p w14:paraId="126094C9" w14:textId="644D4A43" w:rsidR="00156875" w:rsidRDefault="00156875" w:rsidP="00692B60">
            <w:pPr>
              <w:pStyle w:val="ListParagraph"/>
              <w:numPr>
                <w:ilvl w:val="0"/>
                <w:numId w:val="11"/>
              </w:numPr>
              <w:rPr>
                <w:rFonts w:ascii="Calibri" w:hAnsi="Calibri"/>
                <w:szCs w:val="22"/>
              </w:rPr>
            </w:pPr>
            <w:r>
              <w:rPr>
                <w:rFonts w:ascii="Calibri" w:hAnsi="Calibri"/>
                <w:szCs w:val="22"/>
              </w:rPr>
              <w:t xml:space="preserve">proposal is not a natural completion of development </w:t>
            </w:r>
          </w:p>
          <w:p w14:paraId="4F051E79" w14:textId="068759C5" w:rsidR="00404D7E" w:rsidRDefault="00404D7E" w:rsidP="00692B60">
            <w:pPr>
              <w:pStyle w:val="ListParagraph"/>
              <w:numPr>
                <w:ilvl w:val="0"/>
                <w:numId w:val="11"/>
              </w:numPr>
              <w:rPr>
                <w:rFonts w:ascii="Calibri" w:hAnsi="Calibri"/>
                <w:szCs w:val="22"/>
              </w:rPr>
            </w:pPr>
            <w:r w:rsidRPr="00404D7E">
              <w:rPr>
                <w:rFonts w:ascii="Calibri" w:hAnsi="Calibri"/>
                <w:szCs w:val="22"/>
              </w:rPr>
              <w:t>concerns regarding proximity of development to stream</w:t>
            </w:r>
          </w:p>
          <w:p w14:paraId="3222AA2D" w14:textId="45251FAE" w:rsidR="00156875" w:rsidRDefault="00156875" w:rsidP="00692B60">
            <w:pPr>
              <w:pStyle w:val="ListParagraph"/>
              <w:numPr>
                <w:ilvl w:val="0"/>
                <w:numId w:val="11"/>
              </w:numPr>
              <w:rPr>
                <w:rFonts w:ascii="Calibri" w:hAnsi="Calibri"/>
                <w:szCs w:val="22"/>
              </w:rPr>
            </w:pPr>
            <w:r>
              <w:rPr>
                <w:rFonts w:ascii="Calibri" w:hAnsi="Calibri"/>
                <w:szCs w:val="22"/>
              </w:rPr>
              <w:t>there are already issues with surface water flooding which could be made worse by proposed development</w:t>
            </w:r>
          </w:p>
          <w:p w14:paraId="23211698" w14:textId="209CD311" w:rsidR="00404D7E" w:rsidRDefault="00404D7E" w:rsidP="00692B60">
            <w:pPr>
              <w:pStyle w:val="ListParagraph"/>
              <w:numPr>
                <w:ilvl w:val="0"/>
                <w:numId w:val="11"/>
              </w:numPr>
              <w:rPr>
                <w:rFonts w:ascii="Calibri" w:hAnsi="Calibri"/>
                <w:szCs w:val="22"/>
              </w:rPr>
            </w:pPr>
            <w:r w:rsidRPr="00404D7E">
              <w:rPr>
                <w:rFonts w:ascii="Calibri" w:hAnsi="Calibri"/>
                <w:szCs w:val="22"/>
              </w:rPr>
              <w:t>there are swallow nests in the block of stables, concerns regarding negative ecology impacts. Trees have already been cut down by new owner</w:t>
            </w:r>
          </w:p>
          <w:p w14:paraId="626E7473" w14:textId="49C6AC81" w:rsidR="00404D7E" w:rsidRDefault="00404D7E" w:rsidP="00692B60">
            <w:pPr>
              <w:pStyle w:val="ListParagraph"/>
              <w:numPr>
                <w:ilvl w:val="0"/>
                <w:numId w:val="11"/>
              </w:numPr>
              <w:rPr>
                <w:rFonts w:ascii="Calibri" w:hAnsi="Calibri"/>
                <w:szCs w:val="22"/>
              </w:rPr>
            </w:pPr>
            <w:r w:rsidRPr="00404D7E">
              <w:rPr>
                <w:rFonts w:ascii="Calibri" w:hAnsi="Calibri"/>
                <w:szCs w:val="22"/>
              </w:rPr>
              <w:t>there have already been refused schemes on the site for residential development</w:t>
            </w:r>
          </w:p>
          <w:p w14:paraId="2A664FE9" w14:textId="6655105D" w:rsidR="00404D7E" w:rsidRDefault="00404D7E" w:rsidP="00692B60">
            <w:pPr>
              <w:pStyle w:val="ListParagraph"/>
              <w:numPr>
                <w:ilvl w:val="0"/>
                <w:numId w:val="11"/>
              </w:numPr>
              <w:rPr>
                <w:rFonts w:ascii="Calibri" w:hAnsi="Calibri"/>
                <w:szCs w:val="22"/>
              </w:rPr>
            </w:pPr>
            <w:r>
              <w:rPr>
                <w:rFonts w:ascii="Calibri" w:hAnsi="Calibri"/>
                <w:szCs w:val="22"/>
              </w:rPr>
              <w:t>the development is not essential to local economy or for local needs housing and if allowed could set harmful precedent for other future development</w:t>
            </w:r>
          </w:p>
          <w:p w14:paraId="382F33DE" w14:textId="086A44F4" w:rsidR="009C36E4" w:rsidRPr="009C36E4" w:rsidRDefault="00156875" w:rsidP="009C36E4">
            <w:pPr>
              <w:pStyle w:val="ListParagraph"/>
              <w:numPr>
                <w:ilvl w:val="0"/>
                <w:numId w:val="11"/>
              </w:numPr>
              <w:rPr>
                <w:rFonts w:ascii="Calibri" w:hAnsi="Calibri"/>
                <w:szCs w:val="22"/>
              </w:rPr>
            </w:pPr>
            <w:r>
              <w:rPr>
                <w:rFonts w:ascii="Calibri" w:hAnsi="Calibri"/>
                <w:szCs w:val="22"/>
              </w:rPr>
              <w:t>already issues with foul water flooding</w:t>
            </w:r>
          </w:p>
          <w:p w14:paraId="581BB273" w14:textId="08C9FCBE" w:rsidR="00DE573F" w:rsidRPr="00C0704D" w:rsidRDefault="00DE573F" w:rsidP="00692B60">
            <w:pPr>
              <w:rPr>
                <w:rFonts w:ascii="Calibri" w:hAnsi="Calibri"/>
                <w:szCs w:val="22"/>
              </w:rPr>
            </w:pPr>
          </w:p>
        </w:tc>
      </w:tr>
      <w:tr w:rsidR="00C0704D" w:rsidRPr="00D2449B" w14:paraId="1CDFA4C3" w14:textId="77777777" w:rsidTr="000A1EB2">
        <w:trPr>
          <w:trHeight w:hRule="exact" w:val="170"/>
          <w:jc w:val="center"/>
        </w:trPr>
        <w:tc>
          <w:tcPr>
            <w:tcW w:w="99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5308704" w:rsidR="008542DE" w:rsidRPr="00C618DB" w:rsidRDefault="008542DE" w:rsidP="008542DE">
            <w:pPr>
              <w:pStyle w:val="PLANNING"/>
              <w:rPr>
                <w:rFonts w:ascii="Calibri" w:hAnsi="Calibri"/>
                <w:szCs w:val="22"/>
              </w:rPr>
            </w:pPr>
            <w:r w:rsidRPr="00C618DB">
              <w:rPr>
                <w:rFonts w:ascii="Calibri" w:hAnsi="Calibri"/>
                <w:szCs w:val="22"/>
              </w:rPr>
              <w:t>Key Statement DS1</w:t>
            </w:r>
            <w:r w:rsidR="00E008D1">
              <w:rPr>
                <w:rFonts w:ascii="Calibri" w:hAnsi="Calibri"/>
                <w:szCs w:val="22"/>
              </w:rPr>
              <w:t xml:space="preserve">: </w:t>
            </w:r>
            <w:r w:rsidRPr="00C618DB">
              <w:rPr>
                <w:rFonts w:ascii="Calibri" w:hAnsi="Calibri"/>
                <w:szCs w:val="22"/>
              </w:rPr>
              <w:t>Development Strategy</w:t>
            </w:r>
          </w:p>
          <w:p w14:paraId="63DD9EED" w14:textId="61B890B9"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Pr="00C618DB">
              <w:rPr>
                <w:rFonts w:ascii="Calibri" w:hAnsi="Calibri"/>
                <w:szCs w:val="22"/>
              </w:rPr>
              <w:t>Sustainable Development</w:t>
            </w:r>
          </w:p>
          <w:p w14:paraId="660ACF28" w14:textId="6D8EB5BB" w:rsidR="00F056A7" w:rsidRDefault="00F056A7" w:rsidP="008542DE">
            <w:pPr>
              <w:pStyle w:val="PLANNING"/>
              <w:rPr>
                <w:rFonts w:ascii="Calibri" w:hAnsi="Calibri"/>
                <w:szCs w:val="22"/>
              </w:rPr>
            </w:pPr>
            <w:r>
              <w:rPr>
                <w:rFonts w:ascii="Calibri" w:hAnsi="Calibri"/>
                <w:szCs w:val="22"/>
              </w:rPr>
              <w:t>Key Statement EN3:</w:t>
            </w:r>
            <w:r w:rsidR="00E008D1">
              <w:rPr>
                <w:rFonts w:ascii="Calibri" w:hAnsi="Calibri"/>
                <w:szCs w:val="22"/>
              </w:rPr>
              <w:t xml:space="preserve"> </w:t>
            </w:r>
            <w:r>
              <w:rPr>
                <w:rFonts w:ascii="Calibri" w:hAnsi="Calibri"/>
                <w:szCs w:val="22"/>
              </w:rPr>
              <w:t>Sustainable Development and Climate Change</w:t>
            </w:r>
          </w:p>
          <w:p w14:paraId="315469AB" w14:textId="7B7EE784" w:rsidR="00F056A7" w:rsidRDefault="00F056A7" w:rsidP="008542DE">
            <w:pPr>
              <w:pStyle w:val="PLANNING"/>
              <w:rPr>
                <w:rFonts w:ascii="Calibri" w:hAnsi="Calibri"/>
                <w:szCs w:val="22"/>
              </w:rPr>
            </w:pPr>
            <w:r>
              <w:rPr>
                <w:rFonts w:ascii="Calibri" w:hAnsi="Calibri"/>
                <w:szCs w:val="22"/>
              </w:rPr>
              <w:t>Key Statement EN4:</w:t>
            </w:r>
            <w:r w:rsidR="00E008D1">
              <w:rPr>
                <w:rFonts w:ascii="Calibri" w:hAnsi="Calibri"/>
                <w:szCs w:val="22"/>
              </w:rPr>
              <w:t xml:space="preserve"> </w:t>
            </w:r>
            <w:r>
              <w:rPr>
                <w:rFonts w:ascii="Calibri" w:hAnsi="Calibri"/>
                <w:szCs w:val="22"/>
              </w:rPr>
              <w:t>Biodiversity and Geodiversity</w:t>
            </w:r>
          </w:p>
          <w:p w14:paraId="1DDE8FAF" w14:textId="51645386" w:rsidR="00F056A7" w:rsidRDefault="00F056A7" w:rsidP="00F056A7">
            <w:pPr>
              <w:pStyle w:val="PLANNING"/>
              <w:rPr>
                <w:rFonts w:ascii="Calibri" w:hAnsi="Calibri"/>
                <w:szCs w:val="22"/>
              </w:rPr>
            </w:pPr>
            <w:r>
              <w:rPr>
                <w:rFonts w:ascii="Calibri" w:hAnsi="Calibri"/>
                <w:szCs w:val="22"/>
              </w:rPr>
              <w:t>Key Statement DMI2:</w:t>
            </w:r>
            <w:r w:rsidR="00E008D1">
              <w:rPr>
                <w:rFonts w:ascii="Calibri" w:hAnsi="Calibri"/>
                <w:szCs w:val="22"/>
              </w:rPr>
              <w:t xml:space="preserve"> </w:t>
            </w:r>
            <w:r>
              <w:rPr>
                <w:rFonts w:ascii="Calibri" w:hAnsi="Calibri"/>
                <w:szCs w:val="22"/>
              </w:rPr>
              <w:t>Transport Considerations</w:t>
            </w:r>
          </w:p>
          <w:p w14:paraId="4CF76C47" w14:textId="77777777" w:rsidR="0046548C" w:rsidRDefault="0046548C" w:rsidP="008542DE">
            <w:pPr>
              <w:pStyle w:val="PLANNING"/>
              <w:rPr>
                <w:rFonts w:ascii="Calibri" w:hAnsi="Calibri"/>
                <w:szCs w:val="22"/>
              </w:rPr>
            </w:pPr>
          </w:p>
          <w:p w14:paraId="1636F1D2" w14:textId="426B5EFA"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E008D1">
              <w:rPr>
                <w:rFonts w:ascii="Calibri" w:hAnsi="Calibri"/>
                <w:szCs w:val="22"/>
              </w:rPr>
              <w:t xml:space="preserve"> </w:t>
            </w:r>
            <w:r w:rsidRPr="00C618DB">
              <w:rPr>
                <w:rFonts w:ascii="Calibri" w:hAnsi="Calibri"/>
                <w:szCs w:val="22"/>
              </w:rPr>
              <w:t>General Considerations</w:t>
            </w:r>
          </w:p>
          <w:p w14:paraId="54E7D563" w14:textId="7F7BF486" w:rsidR="008542DE"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E008D1">
              <w:rPr>
                <w:rFonts w:ascii="Calibri" w:hAnsi="Calibri"/>
                <w:szCs w:val="22"/>
              </w:rPr>
              <w:t xml:space="preserve"> </w:t>
            </w:r>
            <w:r w:rsidRPr="00C618DB">
              <w:rPr>
                <w:rFonts w:ascii="Calibri" w:hAnsi="Calibri"/>
                <w:szCs w:val="22"/>
              </w:rPr>
              <w:t>Strategic Considerations</w:t>
            </w:r>
          </w:p>
          <w:p w14:paraId="720AE8D1" w14:textId="721E2931" w:rsidR="000C6707" w:rsidRPr="00C618DB" w:rsidRDefault="000C6707" w:rsidP="008542DE">
            <w:pPr>
              <w:pStyle w:val="PLANNING"/>
              <w:rPr>
                <w:rFonts w:ascii="Calibri" w:hAnsi="Calibri"/>
                <w:szCs w:val="22"/>
              </w:rPr>
            </w:pPr>
            <w:r>
              <w:rPr>
                <w:rFonts w:ascii="Calibri" w:hAnsi="Calibri"/>
                <w:szCs w:val="22"/>
              </w:rPr>
              <w:t>Policy DMH3:</w:t>
            </w:r>
            <w:r w:rsidR="00E008D1">
              <w:rPr>
                <w:rFonts w:ascii="Calibri" w:hAnsi="Calibri"/>
                <w:szCs w:val="22"/>
              </w:rPr>
              <w:t xml:space="preserve"> </w:t>
            </w:r>
            <w:r>
              <w:rPr>
                <w:rFonts w:ascii="Calibri" w:hAnsi="Calibri"/>
                <w:szCs w:val="22"/>
              </w:rPr>
              <w:t>Dwellings In The Open Countryside And AONB</w:t>
            </w:r>
          </w:p>
          <w:p w14:paraId="5CF21779" w14:textId="6A492E8F" w:rsidR="008542DE"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E008D1">
              <w:rPr>
                <w:rFonts w:ascii="Calibri" w:hAnsi="Calibri"/>
                <w:szCs w:val="22"/>
              </w:rPr>
              <w:t xml:space="preserve"> </w:t>
            </w:r>
            <w:r w:rsidRPr="00C618DB">
              <w:rPr>
                <w:rFonts w:ascii="Calibri" w:hAnsi="Calibri"/>
                <w:szCs w:val="22"/>
              </w:rPr>
              <w:t>Transport &amp; Mobility</w:t>
            </w:r>
          </w:p>
          <w:p w14:paraId="280AA3E3" w14:textId="7BF5FF32" w:rsidR="006E2F86" w:rsidRDefault="006E2F86" w:rsidP="008542DE">
            <w:pPr>
              <w:pStyle w:val="PLANNING"/>
              <w:rPr>
                <w:rFonts w:ascii="Calibri" w:hAnsi="Calibri"/>
                <w:szCs w:val="22"/>
              </w:rPr>
            </w:pPr>
            <w:r>
              <w:rPr>
                <w:rFonts w:ascii="Calibri" w:hAnsi="Calibri"/>
                <w:szCs w:val="22"/>
              </w:rPr>
              <w:t>Policy DME1</w:t>
            </w:r>
            <w:r w:rsidR="00E008D1">
              <w:rPr>
                <w:rFonts w:ascii="Calibri" w:hAnsi="Calibri"/>
                <w:szCs w:val="22"/>
              </w:rPr>
              <w:t xml:space="preserve">: </w:t>
            </w:r>
            <w:r>
              <w:rPr>
                <w:rFonts w:ascii="Calibri" w:hAnsi="Calibri"/>
                <w:szCs w:val="22"/>
              </w:rPr>
              <w:t>Protecting Trees &amp; Woodlands</w:t>
            </w:r>
          </w:p>
          <w:p w14:paraId="30721653" w14:textId="6D55E901" w:rsidR="006A250A" w:rsidRDefault="006A250A" w:rsidP="008542DE">
            <w:pPr>
              <w:pStyle w:val="PLANNING"/>
              <w:rPr>
                <w:rFonts w:ascii="Calibri" w:hAnsi="Calibri"/>
                <w:szCs w:val="22"/>
              </w:rPr>
            </w:pPr>
            <w:r>
              <w:rPr>
                <w:rFonts w:ascii="Calibri" w:hAnsi="Calibri"/>
                <w:szCs w:val="22"/>
              </w:rPr>
              <w:t>Policy DME4:</w:t>
            </w:r>
            <w:r w:rsidR="00E008D1">
              <w:rPr>
                <w:rFonts w:ascii="Calibri" w:hAnsi="Calibri"/>
                <w:szCs w:val="22"/>
              </w:rPr>
              <w:t xml:space="preserve"> </w:t>
            </w:r>
            <w:r>
              <w:rPr>
                <w:rFonts w:ascii="Calibri" w:hAnsi="Calibri"/>
                <w:szCs w:val="22"/>
              </w:rPr>
              <w:t>Protecting Heritage Assets</w:t>
            </w:r>
          </w:p>
          <w:p w14:paraId="745721F6" w14:textId="77777777" w:rsidR="006E2F86" w:rsidRDefault="006E2F86" w:rsidP="008542DE">
            <w:pPr>
              <w:pStyle w:val="PLANNING"/>
              <w:rPr>
                <w:rFonts w:ascii="Calibri" w:hAnsi="Calibri"/>
                <w:szCs w:val="22"/>
              </w:rPr>
            </w:pPr>
          </w:p>
          <w:p w14:paraId="2D77E8ED" w14:textId="5CBCE38D" w:rsidR="006E2F86" w:rsidRDefault="006E2F86" w:rsidP="008542DE">
            <w:pPr>
              <w:pStyle w:val="PLANNING"/>
              <w:rPr>
                <w:rFonts w:ascii="Calibri" w:hAnsi="Calibri"/>
                <w:b/>
                <w:bCs/>
                <w:szCs w:val="22"/>
              </w:rPr>
            </w:pPr>
            <w:r w:rsidRPr="00E008D1">
              <w:rPr>
                <w:rFonts w:ascii="Calibri" w:hAnsi="Calibri"/>
                <w:b/>
                <w:bCs/>
                <w:szCs w:val="22"/>
              </w:rPr>
              <w:t>Adopted Longridge Neighbourhood Development Plan (2028)</w:t>
            </w:r>
            <w:r w:rsidR="00E008D1">
              <w:rPr>
                <w:rFonts w:ascii="Calibri" w:hAnsi="Calibri"/>
                <w:b/>
                <w:bCs/>
                <w:szCs w:val="22"/>
              </w:rPr>
              <w:t>:</w:t>
            </w:r>
          </w:p>
          <w:p w14:paraId="62E28E4C" w14:textId="77777777" w:rsidR="00E008D1" w:rsidRDefault="00E008D1" w:rsidP="008542DE">
            <w:pPr>
              <w:pStyle w:val="PLANNING"/>
              <w:rPr>
                <w:rFonts w:ascii="Calibri" w:hAnsi="Calibri"/>
                <w:b/>
                <w:bCs/>
                <w:szCs w:val="22"/>
              </w:rPr>
            </w:pPr>
          </w:p>
          <w:p w14:paraId="6B03E3D1" w14:textId="77777777" w:rsidR="00E008D1" w:rsidRDefault="00E008D1" w:rsidP="008542DE">
            <w:pPr>
              <w:pStyle w:val="PLANNING"/>
              <w:rPr>
                <w:rFonts w:ascii="Calibri" w:hAnsi="Calibri"/>
                <w:szCs w:val="22"/>
              </w:rPr>
            </w:pPr>
            <w:r>
              <w:rPr>
                <w:rFonts w:ascii="Calibri" w:hAnsi="Calibri"/>
                <w:szCs w:val="22"/>
              </w:rPr>
              <w:t>Policy LNDP3: Longridge Design Principles</w:t>
            </w:r>
          </w:p>
          <w:p w14:paraId="4E4D4268" w14:textId="77777777" w:rsidR="00E008D1" w:rsidRDefault="00E008D1" w:rsidP="008542DE">
            <w:pPr>
              <w:pStyle w:val="PLANNING"/>
              <w:rPr>
                <w:rFonts w:ascii="Calibri" w:hAnsi="Calibri"/>
                <w:szCs w:val="22"/>
              </w:rPr>
            </w:pPr>
            <w:r>
              <w:rPr>
                <w:rFonts w:ascii="Calibri" w:hAnsi="Calibri"/>
                <w:szCs w:val="22"/>
              </w:rPr>
              <w:t>Policy LNDP4: Conserving And Enhancing Our Designated Heritage Assets</w:t>
            </w:r>
          </w:p>
          <w:p w14:paraId="689FC72F" w14:textId="7E1A946C" w:rsidR="00E008D1" w:rsidRPr="00E008D1" w:rsidRDefault="00E008D1" w:rsidP="008542DE">
            <w:pPr>
              <w:pStyle w:val="PLANNING"/>
              <w:rPr>
                <w:rFonts w:ascii="Calibri" w:hAnsi="Calibri"/>
                <w:szCs w:val="22"/>
              </w:rPr>
            </w:pPr>
            <w:r>
              <w:rPr>
                <w:rFonts w:ascii="Calibri" w:hAnsi="Calibri"/>
                <w:szCs w:val="22"/>
              </w:rPr>
              <w:t xml:space="preserve">Policy LNDP6: Landscape      </w:t>
            </w:r>
          </w:p>
          <w:p w14:paraId="08A423E0" w14:textId="3692E87F" w:rsidR="008542DE" w:rsidRPr="000C6707"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0C6707">
              <w:rPr>
                <w:rFonts w:ascii="Calibri" w:hAnsi="Calibri"/>
                <w:szCs w:val="22"/>
              </w:rPr>
              <w:t>National Planning Policy Framework (NPPF)</w:t>
            </w:r>
          </w:p>
          <w:p w14:paraId="6918784A" w14:textId="77777777" w:rsidR="00CA459B" w:rsidRDefault="00CA459B" w:rsidP="008542DE">
            <w:pPr>
              <w:rPr>
                <w:rFonts w:ascii="Calibri" w:hAnsi="Calibri"/>
                <w:szCs w:val="22"/>
              </w:rPr>
            </w:pPr>
          </w:p>
          <w:p w14:paraId="60DE299B" w14:textId="77777777" w:rsidR="00CA459B" w:rsidRPr="002C70EB" w:rsidRDefault="00CA459B" w:rsidP="00CA459B">
            <w:pPr>
              <w:rPr>
                <w:rFonts w:ascii="Calibri" w:hAnsi="Calibri"/>
                <w:bCs/>
                <w:szCs w:val="22"/>
              </w:rPr>
            </w:pPr>
            <w:r w:rsidRPr="002C70EB">
              <w:rPr>
                <w:rFonts w:ascii="Calibri" w:hAnsi="Calibri"/>
                <w:bCs/>
                <w:szCs w:val="22"/>
              </w:rPr>
              <w:t xml:space="preserve">Self-build and Custom Housebuilding Act 2015 </w:t>
            </w:r>
          </w:p>
          <w:p w14:paraId="45EF05F6" w14:textId="77777777" w:rsidR="00CA459B" w:rsidRPr="002C70EB" w:rsidRDefault="00CA459B" w:rsidP="00CA459B">
            <w:pPr>
              <w:rPr>
                <w:rFonts w:ascii="Calibri" w:hAnsi="Calibri"/>
                <w:bCs/>
                <w:szCs w:val="22"/>
              </w:rPr>
            </w:pPr>
          </w:p>
          <w:p w14:paraId="20510FF7" w14:textId="25E34EBB" w:rsidR="00CA459B" w:rsidRPr="00CA459B" w:rsidRDefault="00CA459B" w:rsidP="008542DE">
            <w:pPr>
              <w:rPr>
                <w:rFonts w:ascii="Calibri" w:hAnsi="Calibri"/>
                <w:bCs/>
                <w:szCs w:val="22"/>
              </w:rPr>
            </w:pPr>
            <w:r w:rsidRPr="002C70EB">
              <w:rPr>
                <w:rFonts w:ascii="Calibri" w:hAnsi="Calibri"/>
                <w:bCs/>
                <w:szCs w:val="22"/>
              </w:rPr>
              <w:t>Self-build and Custom Housebuilding PPG (February 2021)</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3B0E1598" w14:textId="77777777" w:rsidR="00BC01C6" w:rsidRDefault="00BC01C6" w:rsidP="00C0704D">
            <w:pPr>
              <w:pStyle w:val="PLANNING"/>
              <w:rPr>
                <w:rFonts w:ascii="Calibri" w:hAnsi="Calibri"/>
                <w:b/>
                <w:bCs/>
                <w:szCs w:val="22"/>
              </w:rPr>
            </w:pPr>
          </w:p>
          <w:p w14:paraId="3381371E" w14:textId="77777777" w:rsidR="000C6707" w:rsidRPr="000C6707" w:rsidRDefault="000C6707" w:rsidP="000C6707">
            <w:pPr>
              <w:pStyle w:val="PLANNING"/>
              <w:rPr>
                <w:rFonts w:ascii="Calibri" w:hAnsi="Calibri"/>
                <w:b/>
                <w:bCs/>
                <w:szCs w:val="22"/>
              </w:rPr>
            </w:pPr>
            <w:r w:rsidRPr="000C6707">
              <w:rPr>
                <w:rFonts w:ascii="Calibri" w:hAnsi="Calibri"/>
                <w:b/>
                <w:bCs/>
                <w:szCs w:val="22"/>
              </w:rPr>
              <w:t>3/2021/0070</w:t>
            </w:r>
          </w:p>
          <w:p w14:paraId="5C4390FE" w14:textId="6D5BD5DE" w:rsidR="000C6707" w:rsidRPr="000C6707" w:rsidRDefault="000C6707" w:rsidP="00C0704D">
            <w:pPr>
              <w:pStyle w:val="PLANNING"/>
              <w:rPr>
                <w:rFonts w:ascii="Calibri" w:hAnsi="Calibri"/>
                <w:szCs w:val="22"/>
              </w:rPr>
            </w:pPr>
            <w:r w:rsidRPr="000C6707">
              <w:rPr>
                <w:rFonts w:ascii="Calibri" w:hAnsi="Calibri"/>
                <w:szCs w:val="22"/>
              </w:rPr>
              <w:t>Permission in Principle for up to 6 dwellings.</w:t>
            </w:r>
          </w:p>
          <w:p w14:paraId="7B06D8DB" w14:textId="77777777" w:rsidR="0046548C" w:rsidRDefault="000C6707" w:rsidP="000C6707">
            <w:pPr>
              <w:pStyle w:val="PLANNING"/>
              <w:rPr>
                <w:rFonts w:ascii="Calibri" w:hAnsi="Calibri"/>
                <w:szCs w:val="22"/>
              </w:rPr>
            </w:pPr>
            <w:r>
              <w:rPr>
                <w:rFonts w:ascii="Calibri" w:hAnsi="Calibri"/>
                <w:szCs w:val="22"/>
              </w:rPr>
              <w:t>Refused</w:t>
            </w:r>
          </w:p>
          <w:p w14:paraId="1461FE63" w14:textId="77777777" w:rsidR="000C6707" w:rsidRDefault="000C6707" w:rsidP="000C6707">
            <w:pPr>
              <w:pStyle w:val="PLANNING"/>
              <w:rPr>
                <w:rFonts w:ascii="Calibri" w:hAnsi="Calibri"/>
                <w:szCs w:val="22"/>
              </w:rPr>
            </w:pPr>
          </w:p>
          <w:p w14:paraId="5782197F" w14:textId="77777777" w:rsidR="000C6707" w:rsidRPr="000C6707" w:rsidRDefault="000C6707" w:rsidP="000C6707">
            <w:pPr>
              <w:pStyle w:val="PLANNING"/>
              <w:rPr>
                <w:rFonts w:ascii="Calibri" w:hAnsi="Calibri"/>
                <w:b/>
                <w:bCs/>
                <w:szCs w:val="22"/>
              </w:rPr>
            </w:pPr>
            <w:r w:rsidRPr="000C6707">
              <w:rPr>
                <w:rFonts w:ascii="Calibri" w:hAnsi="Calibri"/>
                <w:b/>
                <w:bCs/>
                <w:szCs w:val="22"/>
              </w:rPr>
              <w:t>3/2018/0507</w:t>
            </w:r>
          </w:p>
          <w:p w14:paraId="46AF0A8B" w14:textId="77777777" w:rsidR="000C6707" w:rsidRDefault="000C6707" w:rsidP="000C6707">
            <w:pPr>
              <w:pStyle w:val="PLANNING"/>
              <w:rPr>
                <w:rFonts w:ascii="Calibri" w:hAnsi="Calibri"/>
                <w:szCs w:val="22"/>
              </w:rPr>
            </w:pPr>
            <w:r w:rsidRPr="000C6707">
              <w:rPr>
                <w:rFonts w:ascii="Calibri" w:hAnsi="Calibri"/>
                <w:szCs w:val="22"/>
              </w:rPr>
              <w:t>Outline application for up to 10 self-build dwellings with all matters reserved save for access.</w:t>
            </w:r>
          </w:p>
          <w:p w14:paraId="4E9027A4" w14:textId="3C70B81D" w:rsidR="000C6707" w:rsidRDefault="008254DA" w:rsidP="000C6707">
            <w:pPr>
              <w:pStyle w:val="PLANNING"/>
              <w:rPr>
                <w:rFonts w:ascii="Calibri" w:hAnsi="Calibri"/>
                <w:szCs w:val="22"/>
              </w:rPr>
            </w:pPr>
            <w:r>
              <w:rPr>
                <w:rFonts w:ascii="Calibri" w:hAnsi="Calibri"/>
                <w:szCs w:val="22"/>
              </w:rPr>
              <w:t>Refused</w:t>
            </w:r>
            <w:r>
              <w:rPr>
                <w:rFonts w:ascii="Calibri" w:hAnsi="Calibri"/>
                <w:szCs w:val="22"/>
              </w:rPr>
              <w:br/>
            </w:r>
            <w:r w:rsidR="000C6707">
              <w:rPr>
                <w:rFonts w:ascii="Calibri" w:hAnsi="Calibri"/>
                <w:szCs w:val="22"/>
              </w:rPr>
              <w:t>Appeal Dismissed</w:t>
            </w:r>
          </w:p>
          <w:p w14:paraId="3C8C3F25" w14:textId="77777777" w:rsidR="000C6707" w:rsidRDefault="000C6707" w:rsidP="000C6707">
            <w:pPr>
              <w:pStyle w:val="PLANNING"/>
              <w:rPr>
                <w:rFonts w:ascii="Calibri" w:hAnsi="Calibri"/>
                <w:szCs w:val="22"/>
              </w:rPr>
            </w:pPr>
          </w:p>
          <w:p w14:paraId="38571F1B" w14:textId="77777777" w:rsidR="000C6707" w:rsidRPr="000C6707" w:rsidRDefault="000C6707" w:rsidP="000C6707">
            <w:pPr>
              <w:pStyle w:val="PLANNING"/>
              <w:rPr>
                <w:rFonts w:ascii="Calibri" w:hAnsi="Calibri"/>
                <w:b/>
                <w:bCs/>
                <w:szCs w:val="22"/>
              </w:rPr>
            </w:pPr>
            <w:r w:rsidRPr="000C6707">
              <w:rPr>
                <w:rFonts w:ascii="Calibri" w:hAnsi="Calibri"/>
                <w:b/>
                <w:bCs/>
                <w:szCs w:val="22"/>
              </w:rPr>
              <w:t>3/2017/1100</w:t>
            </w:r>
          </w:p>
          <w:p w14:paraId="3160EE2C" w14:textId="77777777" w:rsidR="000C6707" w:rsidRDefault="000C6707" w:rsidP="000C6707">
            <w:pPr>
              <w:pStyle w:val="PLANNING"/>
              <w:rPr>
                <w:rFonts w:ascii="Calibri" w:hAnsi="Calibri"/>
                <w:szCs w:val="22"/>
              </w:rPr>
            </w:pPr>
            <w:r w:rsidRPr="000C6707">
              <w:rPr>
                <w:rFonts w:ascii="Calibri" w:hAnsi="Calibri"/>
                <w:szCs w:val="22"/>
              </w:rPr>
              <w:t>Outline application for up to 15 self-build dwellings (30% affordable self-build) including access.</w:t>
            </w:r>
          </w:p>
          <w:p w14:paraId="35D096B4" w14:textId="77777777" w:rsidR="000C6707" w:rsidRDefault="000C6707" w:rsidP="000C6707">
            <w:pPr>
              <w:pStyle w:val="PLANNING"/>
              <w:rPr>
                <w:rFonts w:ascii="Calibri" w:hAnsi="Calibri"/>
                <w:szCs w:val="22"/>
              </w:rPr>
            </w:pPr>
            <w:r>
              <w:rPr>
                <w:rFonts w:ascii="Calibri" w:hAnsi="Calibri"/>
                <w:szCs w:val="22"/>
              </w:rPr>
              <w:t>Refused</w:t>
            </w:r>
          </w:p>
          <w:p w14:paraId="0B26B8D3" w14:textId="77777777" w:rsidR="000C6707" w:rsidRDefault="000C6707" w:rsidP="000C6707">
            <w:pPr>
              <w:pStyle w:val="PLANNING"/>
              <w:rPr>
                <w:rFonts w:ascii="Calibri" w:hAnsi="Calibri"/>
                <w:szCs w:val="22"/>
              </w:rPr>
            </w:pPr>
          </w:p>
          <w:p w14:paraId="21D85173" w14:textId="77777777" w:rsidR="000C6707" w:rsidRPr="000C6707" w:rsidRDefault="000C6707" w:rsidP="000C6707">
            <w:pPr>
              <w:pStyle w:val="PLANNING"/>
              <w:rPr>
                <w:rFonts w:ascii="Calibri" w:hAnsi="Calibri"/>
                <w:b/>
                <w:bCs/>
                <w:szCs w:val="22"/>
              </w:rPr>
            </w:pPr>
            <w:r w:rsidRPr="000C6707">
              <w:rPr>
                <w:rFonts w:ascii="Calibri" w:hAnsi="Calibri"/>
                <w:b/>
                <w:bCs/>
                <w:szCs w:val="22"/>
              </w:rPr>
              <w:t>3/2016/0604</w:t>
            </w:r>
          </w:p>
          <w:p w14:paraId="4BB225C4" w14:textId="77777777" w:rsidR="000C6707" w:rsidRDefault="000C6707" w:rsidP="000C6707">
            <w:pPr>
              <w:pStyle w:val="PLANNING"/>
              <w:rPr>
                <w:rFonts w:ascii="Calibri" w:hAnsi="Calibri"/>
                <w:szCs w:val="22"/>
              </w:rPr>
            </w:pPr>
            <w:r w:rsidRPr="000C6707">
              <w:rPr>
                <w:rFonts w:ascii="Calibri" w:hAnsi="Calibri"/>
                <w:szCs w:val="22"/>
              </w:rPr>
              <w:t>Outline application for a two storey dwelling including access.</w:t>
            </w:r>
          </w:p>
          <w:p w14:paraId="4B6DA4C3" w14:textId="77777777" w:rsidR="000C6707" w:rsidRDefault="000C6707" w:rsidP="000C6707">
            <w:pPr>
              <w:pStyle w:val="PLANNING"/>
              <w:rPr>
                <w:rFonts w:ascii="Calibri" w:hAnsi="Calibri"/>
                <w:szCs w:val="22"/>
              </w:rPr>
            </w:pPr>
            <w:r>
              <w:rPr>
                <w:rFonts w:ascii="Calibri" w:hAnsi="Calibri"/>
                <w:szCs w:val="22"/>
              </w:rPr>
              <w:t>Refused</w:t>
            </w:r>
          </w:p>
          <w:p w14:paraId="3E7BFBF0" w14:textId="77777777" w:rsidR="000C6707" w:rsidRDefault="000C6707" w:rsidP="000C6707">
            <w:pPr>
              <w:pStyle w:val="PLANNING"/>
              <w:rPr>
                <w:rFonts w:ascii="Calibri" w:hAnsi="Calibri"/>
                <w:szCs w:val="22"/>
              </w:rPr>
            </w:pPr>
          </w:p>
          <w:p w14:paraId="7CEE4AAB" w14:textId="77777777" w:rsidR="00B61691" w:rsidRPr="00B61691" w:rsidRDefault="00B61691" w:rsidP="00B61691">
            <w:pPr>
              <w:pStyle w:val="PLANNING"/>
              <w:rPr>
                <w:rFonts w:ascii="Calibri" w:hAnsi="Calibri"/>
                <w:b/>
                <w:bCs/>
                <w:szCs w:val="22"/>
              </w:rPr>
            </w:pPr>
            <w:r w:rsidRPr="00B61691">
              <w:rPr>
                <w:rFonts w:ascii="Calibri" w:hAnsi="Calibri"/>
                <w:b/>
                <w:bCs/>
                <w:szCs w:val="22"/>
              </w:rPr>
              <w:t>3/1990/0875</w:t>
            </w:r>
          </w:p>
          <w:p w14:paraId="21B1A64F" w14:textId="49EE93EE" w:rsidR="000C6707" w:rsidRDefault="00B61691" w:rsidP="000C6707">
            <w:pPr>
              <w:pStyle w:val="PLANNING"/>
              <w:rPr>
                <w:rFonts w:ascii="Calibri" w:hAnsi="Calibri"/>
                <w:szCs w:val="22"/>
              </w:rPr>
            </w:pPr>
            <w:r w:rsidRPr="00B61691">
              <w:rPr>
                <w:rFonts w:ascii="Calibri" w:hAnsi="Calibri"/>
                <w:szCs w:val="22"/>
              </w:rPr>
              <w:t>OUTLINE APPLICATION FOR SPLIT LEVEL DWELLINGHOUSE FOR RESIDENTIAL SUPERVISION OF EXISTING STABLES (RESUBMISSION)</w:t>
            </w:r>
          </w:p>
          <w:p w14:paraId="3770E790" w14:textId="13F13534" w:rsidR="00B61691" w:rsidRDefault="00B61691" w:rsidP="000C6707">
            <w:pPr>
              <w:pStyle w:val="PLANNING"/>
              <w:rPr>
                <w:rFonts w:ascii="Calibri" w:hAnsi="Calibri"/>
                <w:szCs w:val="22"/>
              </w:rPr>
            </w:pPr>
            <w:r>
              <w:rPr>
                <w:rFonts w:ascii="Calibri" w:hAnsi="Calibri"/>
                <w:szCs w:val="22"/>
              </w:rPr>
              <w:t>Refused</w:t>
            </w:r>
          </w:p>
          <w:p w14:paraId="438DAD47" w14:textId="77777777" w:rsidR="00B61691" w:rsidRDefault="00B61691" w:rsidP="000C6707">
            <w:pPr>
              <w:pStyle w:val="PLANNING"/>
              <w:rPr>
                <w:rFonts w:ascii="Calibri" w:hAnsi="Calibri"/>
                <w:szCs w:val="22"/>
              </w:rPr>
            </w:pPr>
          </w:p>
          <w:p w14:paraId="03D63347" w14:textId="77777777" w:rsidR="00B61691" w:rsidRPr="00B61691" w:rsidRDefault="00B61691" w:rsidP="00B61691">
            <w:pPr>
              <w:pStyle w:val="PLANNING"/>
              <w:rPr>
                <w:rFonts w:ascii="Calibri" w:hAnsi="Calibri"/>
                <w:b/>
                <w:bCs/>
                <w:szCs w:val="22"/>
              </w:rPr>
            </w:pPr>
            <w:r w:rsidRPr="00B61691">
              <w:rPr>
                <w:rFonts w:ascii="Calibri" w:hAnsi="Calibri"/>
                <w:b/>
                <w:bCs/>
                <w:szCs w:val="22"/>
              </w:rPr>
              <w:t>3/1990/0010</w:t>
            </w:r>
          </w:p>
          <w:p w14:paraId="255C7496" w14:textId="52B593AB" w:rsidR="00B61691" w:rsidRDefault="00B61691" w:rsidP="000C6707">
            <w:pPr>
              <w:pStyle w:val="PLANNING"/>
              <w:rPr>
                <w:rFonts w:ascii="Calibri" w:hAnsi="Calibri"/>
                <w:szCs w:val="22"/>
              </w:rPr>
            </w:pPr>
            <w:r w:rsidRPr="00B61691">
              <w:rPr>
                <w:rFonts w:ascii="Calibri" w:hAnsi="Calibri"/>
                <w:szCs w:val="22"/>
              </w:rPr>
              <w:t>ERECTION OF ONE SPLIT-LEVEL DWELLING</w:t>
            </w:r>
          </w:p>
          <w:p w14:paraId="41BB60FA" w14:textId="4B44ABA0" w:rsidR="00B61691" w:rsidRDefault="00B61691" w:rsidP="000C6707">
            <w:pPr>
              <w:pStyle w:val="PLANNING"/>
              <w:rPr>
                <w:rFonts w:ascii="Calibri" w:hAnsi="Calibri"/>
                <w:szCs w:val="22"/>
              </w:rPr>
            </w:pPr>
            <w:r>
              <w:rPr>
                <w:rFonts w:ascii="Calibri" w:hAnsi="Calibri"/>
                <w:szCs w:val="22"/>
              </w:rPr>
              <w:t>Refused</w:t>
            </w:r>
          </w:p>
          <w:p w14:paraId="508C0E34" w14:textId="77777777" w:rsidR="00B61691" w:rsidRDefault="00B61691" w:rsidP="000C6707">
            <w:pPr>
              <w:pStyle w:val="PLANNING"/>
              <w:rPr>
                <w:rFonts w:ascii="Calibri" w:hAnsi="Calibri"/>
                <w:szCs w:val="22"/>
              </w:rPr>
            </w:pPr>
          </w:p>
          <w:p w14:paraId="1DED1E85" w14:textId="77777777" w:rsidR="00B61691" w:rsidRPr="00B61691" w:rsidRDefault="00B61691" w:rsidP="00B61691">
            <w:pPr>
              <w:pStyle w:val="PLANNING"/>
              <w:rPr>
                <w:rFonts w:ascii="Calibri" w:hAnsi="Calibri"/>
                <w:b/>
                <w:bCs/>
                <w:szCs w:val="22"/>
              </w:rPr>
            </w:pPr>
            <w:r w:rsidRPr="00B61691">
              <w:rPr>
                <w:rFonts w:ascii="Calibri" w:hAnsi="Calibri"/>
                <w:b/>
                <w:bCs/>
                <w:szCs w:val="22"/>
              </w:rPr>
              <w:t>3/1989/0411</w:t>
            </w:r>
          </w:p>
          <w:p w14:paraId="16959D65" w14:textId="380287AB" w:rsidR="00B61691" w:rsidRDefault="00B61691" w:rsidP="000C6707">
            <w:pPr>
              <w:pStyle w:val="PLANNING"/>
              <w:rPr>
                <w:rFonts w:ascii="Calibri" w:hAnsi="Calibri"/>
                <w:szCs w:val="22"/>
              </w:rPr>
            </w:pPr>
            <w:r w:rsidRPr="00B61691">
              <w:rPr>
                <w:rFonts w:ascii="Calibri" w:hAnsi="Calibri"/>
                <w:szCs w:val="22"/>
              </w:rPr>
              <w:t>EXRECISE YARD, SERVICE BUILDING &amp; COMPOUND</w:t>
            </w:r>
          </w:p>
          <w:p w14:paraId="7E4F17DD" w14:textId="16E05A56" w:rsidR="00B61691" w:rsidRDefault="00B61691" w:rsidP="000C6707">
            <w:pPr>
              <w:pStyle w:val="PLANNING"/>
              <w:rPr>
                <w:rFonts w:ascii="Calibri" w:hAnsi="Calibri"/>
                <w:szCs w:val="22"/>
              </w:rPr>
            </w:pPr>
            <w:r>
              <w:rPr>
                <w:rFonts w:ascii="Calibri" w:hAnsi="Calibri"/>
                <w:szCs w:val="22"/>
              </w:rPr>
              <w:t>Approved with Conditions</w:t>
            </w:r>
          </w:p>
          <w:p w14:paraId="17147D50" w14:textId="5478F058" w:rsidR="000C6707" w:rsidRPr="000C6707" w:rsidRDefault="000C6707" w:rsidP="000C6707">
            <w:pPr>
              <w:pStyle w:val="PLANNING"/>
              <w:rPr>
                <w:rFonts w:ascii="Calibri" w:hAnsi="Calibri"/>
                <w:szCs w:val="22"/>
              </w:rPr>
            </w:pPr>
          </w:p>
        </w:tc>
      </w:tr>
      <w:tr w:rsidR="00C0704D" w:rsidRPr="00D2449B" w14:paraId="6AAC3B0A" w14:textId="77777777" w:rsidTr="000A1EB2">
        <w:trPr>
          <w:trHeight w:hRule="exact" w:val="170"/>
          <w:jc w:val="center"/>
        </w:trPr>
        <w:tc>
          <w:tcPr>
            <w:tcW w:w="99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07EA66BB" w:rsidR="00C0704D" w:rsidRDefault="00C0704D" w:rsidP="00440CB6">
            <w:pPr>
              <w:pStyle w:val="Header"/>
              <w:tabs>
                <w:tab w:val="clear" w:pos="4153"/>
                <w:tab w:val="clear" w:pos="8306"/>
              </w:tabs>
              <w:contextualSpacing/>
              <w:jc w:val="both"/>
              <w:rPr>
                <w:rFonts w:ascii="Calibri" w:hAnsi="Calibri"/>
                <w:b/>
                <w:szCs w:val="22"/>
              </w:rPr>
            </w:pPr>
            <w:r w:rsidRPr="00173F28">
              <w:rPr>
                <w:rFonts w:ascii="Calibri" w:hAnsi="Calibri"/>
                <w:b/>
                <w:szCs w:val="22"/>
              </w:rPr>
              <w:lastRenderedPageBreak/>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B7404E9" w14:textId="77777777" w:rsidR="00511D4D" w:rsidRDefault="00816D15" w:rsidP="00A37320">
            <w:pPr>
              <w:pStyle w:val="Header"/>
              <w:tabs>
                <w:tab w:val="clear" w:pos="4153"/>
                <w:tab w:val="clear" w:pos="8306"/>
              </w:tabs>
              <w:contextualSpacing/>
              <w:jc w:val="both"/>
              <w:rPr>
                <w:rFonts w:ascii="Calibri" w:hAnsi="Calibri"/>
                <w:bCs/>
                <w:szCs w:val="22"/>
              </w:rPr>
            </w:pPr>
            <w:r w:rsidRPr="00816D15">
              <w:rPr>
                <w:rFonts w:ascii="Calibri" w:hAnsi="Calibri"/>
                <w:bCs/>
                <w:szCs w:val="22"/>
              </w:rPr>
              <w:t xml:space="preserve">The application site </w:t>
            </w:r>
            <w:r>
              <w:rPr>
                <w:rFonts w:ascii="Calibri" w:hAnsi="Calibri"/>
                <w:bCs/>
                <w:szCs w:val="22"/>
              </w:rPr>
              <w:t>comprises a</w:t>
            </w:r>
            <w:r w:rsidRPr="00816D15">
              <w:rPr>
                <w:rFonts w:ascii="Calibri" w:hAnsi="Calibri"/>
                <w:bCs/>
                <w:szCs w:val="22"/>
              </w:rPr>
              <w:t xml:space="preserve"> plot of land located outside of </w:t>
            </w:r>
            <w:r w:rsidR="00511D4D">
              <w:rPr>
                <w:rFonts w:ascii="Calibri" w:hAnsi="Calibri"/>
                <w:bCs/>
                <w:szCs w:val="22"/>
              </w:rPr>
              <w:t xml:space="preserve">the settlement boundary of Longridge within the Open Countryside. The settlement boundary extends to the south of the application site, along the rear garden boundaries of the properties at Chaigley Road and also extends up to the point where Higher Road meets Ruge Court. </w:t>
            </w:r>
          </w:p>
          <w:p w14:paraId="73DEDBBE" w14:textId="77777777" w:rsidR="00511D4D" w:rsidRDefault="00511D4D" w:rsidP="00A37320">
            <w:pPr>
              <w:pStyle w:val="Header"/>
              <w:tabs>
                <w:tab w:val="clear" w:pos="4153"/>
                <w:tab w:val="clear" w:pos="8306"/>
              </w:tabs>
              <w:contextualSpacing/>
              <w:jc w:val="both"/>
              <w:rPr>
                <w:rFonts w:ascii="Calibri" w:hAnsi="Calibri"/>
                <w:bCs/>
                <w:szCs w:val="22"/>
              </w:rPr>
            </w:pPr>
          </w:p>
          <w:p w14:paraId="1E6A592C" w14:textId="799A9847" w:rsidR="00173F28" w:rsidRDefault="00816D15" w:rsidP="00A37320">
            <w:pPr>
              <w:pStyle w:val="Header"/>
              <w:tabs>
                <w:tab w:val="clear" w:pos="4153"/>
                <w:tab w:val="clear" w:pos="8306"/>
              </w:tabs>
              <w:contextualSpacing/>
              <w:jc w:val="both"/>
              <w:rPr>
                <w:rFonts w:ascii="Calibri" w:hAnsi="Calibri"/>
                <w:bCs/>
                <w:szCs w:val="22"/>
              </w:rPr>
            </w:pPr>
            <w:r w:rsidRPr="00816D15">
              <w:rPr>
                <w:rFonts w:ascii="Calibri" w:hAnsi="Calibri"/>
                <w:bCs/>
                <w:szCs w:val="22"/>
              </w:rPr>
              <w:t xml:space="preserve">The site currently accommodates an area of land used for equestrian purposes including a </w:t>
            </w:r>
            <w:r w:rsidR="00511D4D">
              <w:rPr>
                <w:rFonts w:ascii="Calibri" w:hAnsi="Calibri"/>
                <w:bCs/>
                <w:szCs w:val="22"/>
              </w:rPr>
              <w:t>horse menage and vehicular access of Chaigley Road. There are other buildings located beyond the red line boundary including a stable building. In addition, t</w:t>
            </w:r>
            <w:r w:rsidRPr="00816D15">
              <w:rPr>
                <w:rFonts w:ascii="Calibri" w:hAnsi="Calibri"/>
                <w:bCs/>
                <w:szCs w:val="22"/>
              </w:rPr>
              <w:t xml:space="preserve">he site is abutted to the north and west by John Smith Playing Fields. </w:t>
            </w:r>
            <w:r w:rsidR="00DE573F">
              <w:rPr>
                <w:rFonts w:ascii="Calibri" w:hAnsi="Calibri"/>
                <w:bCs/>
                <w:szCs w:val="22"/>
              </w:rPr>
              <w:t xml:space="preserve">There are a number of trees located along the site boundaries and either side of the site access and it should be noted that the topography of the site is at a lower land level when compared to Higher Road. </w:t>
            </w:r>
            <w:r w:rsidR="00173F28">
              <w:rPr>
                <w:rFonts w:ascii="Calibri" w:hAnsi="Calibri"/>
                <w:bCs/>
                <w:szCs w:val="22"/>
              </w:rPr>
              <w:t xml:space="preserve">A small section of the site also comprises contaminated land. </w:t>
            </w:r>
          </w:p>
          <w:p w14:paraId="62370E9F" w14:textId="7BECE8AE" w:rsidR="00816D15" w:rsidRPr="006C2BFA" w:rsidRDefault="00816D15" w:rsidP="00DE573F">
            <w:pPr>
              <w:pStyle w:val="Header"/>
              <w:tabs>
                <w:tab w:val="clear" w:pos="4153"/>
                <w:tab w:val="clear" w:pos="8306"/>
              </w:tabs>
              <w:contextualSpacing/>
              <w:jc w:val="both"/>
              <w:rPr>
                <w:rFonts w:ascii="Calibri" w:hAnsi="Calibri"/>
                <w:bCs/>
                <w:szCs w:val="22"/>
              </w:rPr>
            </w:pPr>
          </w:p>
        </w:tc>
      </w:tr>
      <w:tr w:rsidR="00C0704D" w:rsidRPr="00D2449B" w14:paraId="408C6380"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2061655" w14:textId="739CCA44" w:rsidR="00C0704D" w:rsidRDefault="00765B66" w:rsidP="00E50C0F">
            <w:pPr>
              <w:jc w:val="both"/>
              <w:rPr>
                <w:rFonts w:ascii="Calibri" w:hAnsi="Calibri"/>
                <w:szCs w:val="22"/>
              </w:rPr>
            </w:pPr>
            <w:r>
              <w:rPr>
                <w:rFonts w:ascii="Calibri" w:hAnsi="Calibri"/>
                <w:szCs w:val="22"/>
              </w:rPr>
              <w:t xml:space="preserve">The application seeks ‘Permission in Principle’ </w:t>
            </w:r>
            <w:r w:rsidR="00E50C0F">
              <w:rPr>
                <w:rFonts w:ascii="Calibri" w:hAnsi="Calibri"/>
                <w:szCs w:val="22"/>
              </w:rPr>
              <w:t xml:space="preserve">(PiP) </w:t>
            </w:r>
            <w:r>
              <w:rPr>
                <w:rFonts w:ascii="Calibri" w:hAnsi="Calibri"/>
                <w:szCs w:val="22"/>
              </w:rPr>
              <w:t xml:space="preserve">consent for the erection of </w:t>
            </w:r>
            <w:r w:rsidR="006E3356">
              <w:rPr>
                <w:rFonts w:ascii="Calibri" w:hAnsi="Calibri"/>
                <w:szCs w:val="22"/>
              </w:rPr>
              <w:t>one residential dwelling</w:t>
            </w:r>
            <w:r>
              <w:rPr>
                <w:rFonts w:ascii="Calibri" w:hAnsi="Calibri"/>
                <w:szCs w:val="22"/>
              </w:rPr>
              <w:t xml:space="preserve"> within the application site.  Given the application </w:t>
            </w:r>
            <w:r w:rsidR="00E50C0F">
              <w:rPr>
                <w:rFonts w:ascii="Calibri" w:hAnsi="Calibri"/>
                <w:szCs w:val="22"/>
              </w:rPr>
              <w:t xml:space="preserve">seeks consent solely for matters </w:t>
            </w:r>
            <w:r w:rsidR="008A1BB4">
              <w:rPr>
                <w:rFonts w:ascii="Calibri" w:hAnsi="Calibri"/>
                <w:szCs w:val="22"/>
              </w:rPr>
              <w:t xml:space="preserve">relating </w:t>
            </w:r>
            <w:r w:rsidR="00E50C0F">
              <w:rPr>
                <w:rFonts w:ascii="Calibri" w:hAnsi="Calibri"/>
                <w:szCs w:val="22"/>
              </w:rPr>
              <w:t xml:space="preserve">to the principle of the development, no details in respect of the proposed layout, configuration nor external appearance of the dwellings </w:t>
            </w:r>
            <w:r w:rsidR="00C22413">
              <w:rPr>
                <w:rFonts w:ascii="Calibri" w:hAnsi="Calibri"/>
                <w:szCs w:val="22"/>
              </w:rPr>
              <w:t>are required to be</w:t>
            </w:r>
            <w:r w:rsidR="00E50C0F">
              <w:rPr>
                <w:rFonts w:ascii="Calibri" w:hAnsi="Calibri"/>
                <w:szCs w:val="22"/>
              </w:rPr>
              <w:t xml:space="preserve"> submitted for consideration at this stage.</w:t>
            </w:r>
            <w:r w:rsidR="006E3356">
              <w:rPr>
                <w:rFonts w:ascii="Calibri" w:hAnsi="Calibri"/>
                <w:szCs w:val="22"/>
              </w:rPr>
              <w:t xml:space="preserve"> Notwithstanding this, the application is accompanied by an existing and proposed site plan which shows the siting of the proposed dwelling within the site</w:t>
            </w:r>
            <w:r w:rsidR="00A37320">
              <w:rPr>
                <w:rFonts w:ascii="Calibri" w:hAnsi="Calibri"/>
                <w:szCs w:val="22"/>
              </w:rPr>
              <w:t xml:space="preserve"> boundaries.</w:t>
            </w:r>
          </w:p>
          <w:p w14:paraId="1B20488F" w14:textId="559F5E2B" w:rsidR="00765B66" w:rsidRPr="00D54E67" w:rsidRDefault="00765B66" w:rsidP="002F2580">
            <w:pPr>
              <w:rPr>
                <w:rFonts w:ascii="Calibri" w:hAnsi="Calibri"/>
                <w:szCs w:val="22"/>
              </w:rPr>
            </w:pPr>
          </w:p>
        </w:tc>
      </w:tr>
      <w:tr w:rsidR="0046548C" w:rsidRPr="00D2449B" w14:paraId="06BBE02F"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9C36E4" w:rsidRDefault="0046548C" w:rsidP="0046548C">
            <w:pPr>
              <w:pStyle w:val="Header"/>
              <w:tabs>
                <w:tab w:val="clear" w:pos="4153"/>
                <w:tab w:val="clear" w:pos="8306"/>
              </w:tabs>
              <w:contextualSpacing/>
              <w:jc w:val="both"/>
              <w:rPr>
                <w:rFonts w:ascii="Calibri" w:hAnsi="Calibri"/>
                <w:b/>
                <w:szCs w:val="22"/>
              </w:rPr>
            </w:pPr>
            <w:r w:rsidRPr="009C36E4">
              <w:rPr>
                <w:rFonts w:ascii="Calibri" w:hAnsi="Calibri"/>
                <w:b/>
                <w:szCs w:val="22"/>
              </w:rPr>
              <w:t>Principle of Development:</w:t>
            </w:r>
          </w:p>
          <w:p w14:paraId="77580A9A" w14:textId="77777777" w:rsidR="00CA459B" w:rsidRDefault="00CA459B" w:rsidP="008542DE">
            <w:pPr>
              <w:pStyle w:val="Header"/>
              <w:tabs>
                <w:tab w:val="clear" w:pos="4153"/>
                <w:tab w:val="clear" w:pos="8306"/>
              </w:tabs>
              <w:contextualSpacing/>
              <w:jc w:val="both"/>
              <w:rPr>
                <w:rFonts w:ascii="Calibri" w:hAnsi="Calibri"/>
                <w:bCs/>
                <w:szCs w:val="22"/>
              </w:rPr>
            </w:pPr>
          </w:p>
          <w:p w14:paraId="2C170F39" w14:textId="5996E42C" w:rsidR="0046548C" w:rsidRDefault="003C2FAB" w:rsidP="008542DE">
            <w:pPr>
              <w:pStyle w:val="Header"/>
              <w:tabs>
                <w:tab w:val="clear" w:pos="4153"/>
                <w:tab w:val="clear" w:pos="8306"/>
              </w:tabs>
              <w:contextualSpacing/>
              <w:jc w:val="both"/>
              <w:rPr>
                <w:rFonts w:ascii="Calibri" w:hAnsi="Calibri"/>
                <w:bCs/>
                <w:szCs w:val="22"/>
              </w:rPr>
            </w:pPr>
            <w:r w:rsidRPr="00F32E26">
              <w:rPr>
                <w:rFonts w:ascii="Calibri" w:hAnsi="Calibri"/>
                <w:bCs/>
                <w:szCs w:val="22"/>
              </w:rPr>
              <w:t xml:space="preserve">The application seeks permission in principle for the erection of </w:t>
            </w:r>
            <w:r w:rsidR="00C25D66">
              <w:rPr>
                <w:rFonts w:ascii="Calibri" w:hAnsi="Calibri"/>
                <w:bCs/>
                <w:szCs w:val="22"/>
              </w:rPr>
              <w:t xml:space="preserve">one residential dwelling. </w:t>
            </w:r>
            <w:r w:rsidRPr="00F32E26">
              <w:rPr>
                <w:rFonts w:ascii="Calibri" w:hAnsi="Calibri"/>
                <w:bCs/>
                <w:szCs w:val="22"/>
              </w:rPr>
              <w:t xml:space="preserve">As such, </w:t>
            </w:r>
            <w:r w:rsidR="00C25D66">
              <w:rPr>
                <w:rFonts w:ascii="Calibri" w:hAnsi="Calibri"/>
                <w:bCs/>
                <w:szCs w:val="22"/>
              </w:rPr>
              <w:t xml:space="preserve">it is necessary to consider whether the location of the proposed new dwelling is compatible with the overall spatial strategy for the housing growth within the </w:t>
            </w:r>
            <w:r w:rsidR="00FA2196">
              <w:rPr>
                <w:rFonts w:ascii="Calibri" w:hAnsi="Calibri"/>
                <w:bCs/>
                <w:szCs w:val="22"/>
              </w:rPr>
              <w:t>b</w:t>
            </w:r>
            <w:r w:rsidR="00C25D66">
              <w:rPr>
                <w:rFonts w:ascii="Calibri" w:hAnsi="Calibri"/>
                <w:bCs/>
                <w:szCs w:val="22"/>
              </w:rPr>
              <w:t xml:space="preserve">orough as identified </w:t>
            </w:r>
            <w:r w:rsidRPr="00F32E26">
              <w:rPr>
                <w:rFonts w:ascii="Calibri" w:hAnsi="Calibri"/>
                <w:bCs/>
                <w:szCs w:val="22"/>
              </w:rPr>
              <w:t>within the currently adopted development strategy.</w:t>
            </w:r>
          </w:p>
          <w:p w14:paraId="49A1698A" w14:textId="77777777" w:rsidR="00F32E26" w:rsidRDefault="00F32E26" w:rsidP="008542DE">
            <w:pPr>
              <w:pStyle w:val="Header"/>
              <w:tabs>
                <w:tab w:val="clear" w:pos="4153"/>
                <w:tab w:val="clear" w:pos="8306"/>
              </w:tabs>
              <w:contextualSpacing/>
              <w:jc w:val="both"/>
              <w:rPr>
                <w:rFonts w:ascii="Calibri" w:hAnsi="Calibri"/>
                <w:bCs/>
                <w:szCs w:val="22"/>
              </w:rPr>
            </w:pPr>
          </w:p>
          <w:p w14:paraId="035AE3C1" w14:textId="5ECBDED2" w:rsidR="00C25D66" w:rsidRDefault="00C25D66" w:rsidP="00C25D66">
            <w:pPr>
              <w:pStyle w:val="Header"/>
              <w:tabs>
                <w:tab w:val="clear" w:pos="4153"/>
                <w:tab w:val="clear" w:pos="8306"/>
              </w:tabs>
              <w:contextualSpacing/>
              <w:jc w:val="both"/>
              <w:rPr>
                <w:rFonts w:ascii="Calibri" w:hAnsi="Calibri"/>
                <w:bCs/>
                <w:szCs w:val="22"/>
              </w:rPr>
            </w:pPr>
            <w:r>
              <w:rPr>
                <w:rFonts w:ascii="Calibri" w:hAnsi="Calibri"/>
                <w:bCs/>
                <w:szCs w:val="22"/>
              </w:rPr>
              <w:t xml:space="preserve">When considering the principle of a new residential dwelling, </w:t>
            </w:r>
            <w:r w:rsidR="007344D5">
              <w:rPr>
                <w:rFonts w:ascii="Calibri" w:hAnsi="Calibri"/>
                <w:bCs/>
                <w:szCs w:val="22"/>
              </w:rPr>
              <w:t xml:space="preserve">Key Statement DS1 </w:t>
            </w:r>
            <w:r>
              <w:rPr>
                <w:rFonts w:ascii="Calibri" w:hAnsi="Calibri"/>
                <w:bCs/>
                <w:szCs w:val="22"/>
              </w:rPr>
              <w:t>states that:</w:t>
            </w:r>
          </w:p>
          <w:p w14:paraId="50E021D4" w14:textId="77777777" w:rsidR="00C25D66" w:rsidRDefault="00C25D66" w:rsidP="00C25D66">
            <w:pPr>
              <w:pStyle w:val="Header"/>
              <w:tabs>
                <w:tab w:val="clear" w:pos="4153"/>
                <w:tab w:val="clear" w:pos="8306"/>
              </w:tabs>
              <w:contextualSpacing/>
              <w:jc w:val="both"/>
              <w:rPr>
                <w:rFonts w:ascii="Calibri" w:hAnsi="Calibri"/>
                <w:bCs/>
                <w:szCs w:val="22"/>
              </w:rPr>
            </w:pPr>
          </w:p>
          <w:p w14:paraId="417E9D21" w14:textId="77777777" w:rsidR="00C25D66" w:rsidRPr="009C36E4" w:rsidRDefault="00C25D66" w:rsidP="00C25D66">
            <w:pPr>
              <w:jc w:val="both"/>
              <w:rPr>
                <w:rFonts w:ascii="Calibri" w:hAnsi="Calibri"/>
                <w:bCs/>
                <w:i/>
                <w:iCs/>
                <w:szCs w:val="22"/>
              </w:rPr>
            </w:pPr>
            <w:r w:rsidRPr="009C36E4">
              <w:rPr>
                <w:rFonts w:ascii="Calibri" w:hAnsi="Calibri"/>
                <w:bCs/>
                <w:i/>
                <w:iCs/>
                <w:szCs w:val="22"/>
              </w:rPr>
              <w:t>The majority of new housing development will be:</w:t>
            </w:r>
          </w:p>
          <w:p w14:paraId="315ED008" w14:textId="77777777" w:rsidR="00C25D66" w:rsidRPr="009C36E4" w:rsidRDefault="00C25D66" w:rsidP="00C25D66">
            <w:pPr>
              <w:jc w:val="both"/>
              <w:rPr>
                <w:rFonts w:ascii="Calibri" w:hAnsi="Calibri"/>
                <w:bCs/>
                <w:i/>
                <w:iCs/>
                <w:szCs w:val="22"/>
              </w:rPr>
            </w:pPr>
          </w:p>
          <w:p w14:paraId="1D5FA2F7" w14:textId="77777777" w:rsidR="00C25D66" w:rsidRPr="009C36E4" w:rsidRDefault="00C25D66" w:rsidP="00C25D66">
            <w:pPr>
              <w:pStyle w:val="ListParagraph"/>
              <w:numPr>
                <w:ilvl w:val="0"/>
                <w:numId w:val="3"/>
              </w:numPr>
              <w:overflowPunct/>
              <w:autoSpaceDE/>
              <w:autoSpaceDN/>
              <w:adjustRightInd/>
              <w:jc w:val="both"/>
              <w:textAlignment w:val="auto"/>
              <w:rPr>
                <w:rFonts w:ascii="Calibri" w:hAnsi="Calibri"/>
                <w:bCs/>
                <w:i/>
                <w:iCs/>
                <w:szCs w:val="22"/>
              </w:rPr>
            </w:pPr>
            <w:r w:rsidRPr="009C36E4">
              <w:rPr>
                <w:rFonts w:ascii="Calibri" w:hAnsi="Calibri"/>
                <w:bCs/>
                <w:i/>
                <w:iCs/>
                <w:szCs w:val="22"/>
              </w:rPr>
              <w:t>concentrated within an identified strategic site located to the south of Clitheroe towards the A59; and the principal settlements of:</w:t>
            </w:r>
          </w:p>
          <w:p w14:paraId="78FBB252" w14:textId="77777777" w:rsidR="00C25D66" w:rsidRPr="009C36E4" w:rsidRDefault="00C25D66" w:rsidP="00C25D66">
            <w:pPr>
              <w:pStyle w:val="ListParagraph"/>
              <w:numPr>
                <w:ilvl w:val="0"/>
                <w:numId w:val="3"/>
              </w:numPr>
              <w:overflowPunct/>
              <w:autoSpaceDE/>
              <w:autoSpaceDN/>
              <w:adjustRightInd/>
              <w:jc w:val="both"/>
              <w:textAlignment w:val="auto"/>
              <w:rPr>
                <w:rFonts w:ascii="Calibri" w:hAnsi="Calibri"/>
                <w:bCs/>
                <w:i/>
                <w:iCs/>
                <w:szCs w:val="22"/>
              </w:rPr>
            </w:pPr>
            <w:r w:rsidRPr="009C36E4">
              <w:rPr>
                <w:rFonts w:ascii="Calibri" w:hAnsi="Calibri"/>
                <w:bCs/>
                <w:i/>
                <w:iCs/>
                <w:szCs w:val="22"/>
              </w:rPr>
              <w:t>Clitheroe;</w:t>
            </w:r>
          </w:p>
          <w:p w14:paraId="6AF4F6C3" w14:textId="77777777" w:rsidR="00C25D66" w:rsidRPr="009C36E4" w:rsidRDefault="00C25D66" w:rsidP="00C25D66">
            <w:pPr>
              <w:pStyle w:val="ListParagraph"/>
              <w:numPr>
                <w:ilvl w:val="0"/>
                <w:numId w:val="3"/>
              </w:numPr>
              <w:overflowPunct/>
              <w:autoSpaceDE/>
              <w:autoSpaceDN/>
              <w:adjustRightInd/>
              <w:jc w:val="both"/>
              <w:textAlignment w:val="auto"/>
              <w:rPr>
                <w:rFonts w:ascii="Calibri" w:hAnsi="Calibri"/>
                <w:bCs/>
                <w:i/>
                <w:iCs/>
                <w:szCs w:val="22"/>
              </w:rPr>
            </w:pPr>
            <w:r w:rsidRPr="009C36E4">
              <w:rPr>
                <w:rFonts w:ascii="Calibri" w:hAnsi="Calibri"/>
                <w:bCs/>
                <w:i/>
                <w:iCs/>
                <w:szCs w:val="22"/>
              </w:rPr>
              <w:t>Longridge; and</w:t>
            </w:r>
          </w:p>
          <w:p w14:paraId="52AB8429" w14:textId="77777777" w:rsidR="00C25D66" w:rsidRPr="009C36E4" w:rsidRDefault="00C25D66" w:rsidP="00C25D66">
            <w:pPr>
              <w:pStyle w:val="ListParagraph"/>
              <w:numPr>
                <w:ilvl w:val="0"/>
                <w:numId w:val="3"/>
              </w:numPr>
              <w:overflowPunct/>
              <w:autoSpaceDE/>
              <w:autoSpaceDN/>
              <w:adjustRightInd/>
              <w:jc w:val="both"/>
              <w:textAlignment w:val="auto"/>
              <w:rPr>
                <w:rFonts w:ascii="Calibri" w:hAnsi="Calibri"/>
                <w:bCs/>
                <w:i/>
                <w:iCs/>
                <w:szCs w:val="22"/>
              </w:rPr>
            </w:pPr>
            <w:r w:rsidRPr="009C36E4">
              <w:rPr>
                <w:rFonts w:ascii="Calibri" w:hAnsi="Calibri"/>
                <w:bCs/>
                <w:i/>
                <w:iCs/>
                <w:szCs w:val="22"/>
              </w:rPr>
              <w:t>Whalley.</w:t>
            </w:r>
          </w:p>
          <w:p w14:paraId="18F9F356" w14:textId="77777777" w:rsidR="00C25D66" w:rsidRPr="009C36E4" w:rsidRDefault="00C25D66" w:rsidP="00C25D66">
            <w:pPr>
              <w:jc w:val="both"/>
              <w:rPr>
                <w:rFonts w:ascii="Calibri" w:hAnsi="Calibri"/>
                <w:bCs/>
                <w:i/>
                <w:iCs/>
                <w:szCs w:val="22"/>
              </w:rPr>
            </w:pPr>
          </w:p>
          <w:p w14:paraId="47F8E6EF" w14:textId="18B998E3" w:rsidR="00C25D66" w:rsidRPr="009C36E4" w:rsidRDefault="00C25D66" w:rsidP="00C25D66">
            <w:pPr>
              <w:jc w:val="both"/>
              <w:rPr>
                <w:rFonts w:ascii="Calibri" w:hAnsi="Calibri"/>
                <w:bCs/>
                <w:i/>
                <w:iCs/>
                <w:szCs w:val="22"/>
              </w:rPr>
            </w:pPr>
            <w:r w:rsidRPr="009C36E4">
              <w:rPr>
                <w:rFonts w:ascii="Calibri" w:hAnsi="Calibri"/>
                <w:bCs/>
                <w:i/>
                <w:iCs/>
                <w:szCs w:val="22"/>
              </w:rPr>
              <w:t xml:space="preserve">In addition to the strategic site at Standen and the </w:t>
            </w:r>
            <w:r w:rsidR="008A1BB4" w:rsidRPr="009C36E4">
              <w:rPr>
                <w:rFonts w:ascii="Calibri" w:hAnsi="Calibri"/>
                <w:bCs/>
                <w:i/>
                <w:iCs/>
                <w:szCs w:val="22"/>
              </w:rPr>
              <w:t>Borough’s</w:t>
            </w:r>
            <w:r w:rsidRPr="009C36E4">
              <w:rPr>
                <w:rFonts w:ascii="Calibri" w:hAnsi="Calibri"/>
                <w:bCs/>
                <w:i/>
                <w:iCs/>
                <w:szCs w:val="22"/>
              </w:rPr>
              <w:t xml:space="preserve"> principal settlements, development will be focused towards the Tier 1 Villages, which are the more sustainable of the 32 defined settlements:</w:t>
            </w:r>
          </w:p>
          <w:p w14:paraId="32C03D9C" w14:textId="77777777" w:rsidR="00C25D66" w:rsidRPr="009C36E4" w:rsidRDefault="00C25D66" w:rsidP="00C25D66">
            <w:pPr>
              <w:jc w:val="both"/>
              <w:rPr>
                <w:rFonts w:ascii="Calibri" w:hAnsi="Calibri"/>
                <w:bCs/>
                <w:i/>
                <w:iCs/>
                <w:szCs w:val="22"/>
              </w:rPr>
            </w:pPr>
          </w:p>
          <w:p w14:paraId="14085AE6" w14:textId="77777777" w:rsidR="00C25D66" w:rsidRPr="009C36E4" w:rsidRDefault="00C25D66" w:rsidP="00C25D66">
            <w:pPr>
              <w:pStyle w:val="ListParagraph"/>
              <w:numPr>
                <w:ilvl w:val="0"/>
                <w:numId w:val="6"/>
              </w:numPr>
              <w:overflowPunct/>
              <w:textAlignment w:val="auto"/>
              <w:rPr>
                <w:rFonts w:ascii="Calibri" w:hAnsi="Calibri"/>
                <w:bCs/>
                <w:i/>
                <w:iCs/>
                <w:szCs w:val="22"/>
              </w:rPr>
            </w:pPr>
            <w:r w:rsidRPr="009C36E4">
              <w:rPr>
                <w:rFonts w:ascii="Calibri" w:hAnsi="Calibri"/>
                <w:bCs/>
                <w:i/>
                <w:iCs/>
                <w:szCs w:val="22"/>
              </w:rPr>
              <w:t>Barrow</w:t>
            </w:r>
          </w:p>
          <w:p w14:paraId="1F93D923" w14:textId="77777777" w:rsidR="00C25D66" w:rsidRPr="009C36E4" w:rsidRDefault="00C25D66" w:rsidP="00C25D66">
            <w:pPr>
              <w:pStyle w:val="ListParagraph"/>
              <w:numPr>
                <w:ilvl w:val="0"/>
                <w:numId w:val="6"/>
              </w:numPr>
              <w:overflowPunct/>
              <w:textAlignment w:val="auto"/>
              <w:rPr>
                <w:rFonts w:ascii="Calibri" w:hAnsi="Calibri"/>
                <w:bCs/>
                <w:i/>
                <w:iCs/>
                <w:szCs w:val="22"/>
              </w:rPr>
            </w:pPr>
            <w:r w:rsidRPr="009C36E4">
              <w:rPr>
                <w:rFonts w:ascii="Calibri" w:hAnsi="Calibri"/>
                <w:bCs/>
                <w:i/>
                <w:iCs/>
                <w:szCs w:val="22"/>
              </w:rPr>
              <w:t>Billington</w:t>
            </w:r>
          </w:p>
          <w:p w14:paraId="05FDD44F" w14:textId="77777777" w:rsidR="00C25D66" w:rsidRPr="009C36E4" w:rsidRDefault="00C25D66" w:rsidP="00C25D66">
            <w:pPr>
              <w:pStyle w:val="ListParagraph"/>
              <w:numPr>
                <w:ilvl w:val="0"/>
                <w:numId w:val="6"/>
              </w:numPr>
              <w:overflowPunct/>
              <w:textAlignment w:val="auto"/>
              <w:rPr>
                <w:rFonts w:ascii="Calibri" w:hAnsi="Calibri"/>
                <w:bCs/>
                <w:i/>
                <w:iCs/>
                <w:szCs w:val="22"/>
              </w:rPr>
            </w:pPr>
            <w:r w:rsidRPr="009C36E4">
              <w:rPr>
                <w:rFonts w:ascii="Calibri" w:hAnsi="Calibri"/>
                <w:bCs/>
                <w:i/>
                <w:iCs/>
                <w:szCs w:val="22"/>
              </w:rPr>
              <w:t>Chatburn</w:t>
            </w:r>
          </w:p>
          <w:p w14:paraId="75C67DD6" w14:textId="77777777" w:rsidR="00C25D66" w:rsidRPr="009C36E4" w:rsidRDefault="00C25D66" w:rsidP="00C25D66">
            <w:pPr>
              <w:pStyle w:val="ListParagraph"/>
              <w:numPr>
                <w:ilvl w:val="0"/>
                <w:numId w:val="6"/>
              </w:numPr>
              <w:overflowPunct/>
              <w:textAlignment w:val="auto"/>
              <w:rPr>
                <w:rFonts w:ascii="Calibri" w:hAnsi="Calibri"/>
                <w:bCs/>
                <w:i/>
                <w:iCs/>
                <w:szCs w:val="22"/>
              </w:rPr>
            </w:pPr>
            <w:r w:rsidRPr="009C36E4">
              <w:rPr>
                <w:rFonts w:ascii="Calibri" w:hAnsi="Calibri"/>
                <w:bCs/>
                <w:i/>
                <w:iCs/>
                <w:szCs w:val="22"/>
              </w:rPr>
              <w:t>Gisburn</w:t>
            </w:r>
          </w:p>
          <w:p w14:paraId="5AD68236" w14:textId="77777777" w:rsidR="00C25D66" w:rsidRPr="009C36E4" w:rsidRDefault="00C25D66" w:rsidP="00C25D66">
            <w:pPr>
              <w:pStyle w:val="ListParagraph"/>
              <w:numPr>
                <w:ilvl w:val="0"/>
                <w:numId w:val="6"/>
              </w:numPr>
              <w:overflowPunct/>
              <w:textAlignment w:val="auto"/>
              <w:rPr>
                <w:rFonts w:ascii="Calibri" w:hAnsi="Calibri"/>
                <w:bCs/>
                <w:i/>
                <w:iCs/>
                <w:szCs w:val="22"/>
              </w:rPr>
            </w:pPr>
            <w:r w:rsidRPr="009C36E4">
              <w:rPr>
                <w:rFonts w:ascii="Calibri" w:hAnsi="Calibri"/>
                <w:bCs/>
                <w:i/>
                <w:iCs/>
                <w:szCs w:val="22"/>
              </w:rPr>
              <w:t>Langho</w:t>
            </w:r>
          </w:p>
          <w:p w14:paraId="724E3B0A" w14:textId="77777777" w:rsidR="00C25D66" w:rsidRPr="009C36E4" w:rsidRDefault="00C25D66" w:rsidP="00C25D66">
            <w:pPr>
              <w:pStyle w:val="ListParagraph"/>
              <w:numPr>
                <w:ilvl w:val="0"/>
                <w:numId w:val="6"/>
              </w:numPr>
              <w:overflowPunct/>
              <w:textAlignment w:val="auto"/>
              <w:rPr>
                <w:rFonts w:ascii="Calibri" w:hAnsi="Calibri"/>
                <w:bCs/>
                <w:i/>
                <w:iCs/>
                <w:szCs w:val="22"/>
              </w:rPr>
            </w:pPr>
            <w:r w:rsidRPr="009C36E4">
              <w:rPr>
                <w:rFonts w:ascii="Calibri" w:hAnsi="Calibri"/>
                <w:bCs/>
                <w:i/>
                <w:iCs/>
                <w:szCs w:val="22"/>
              </w:rPr>
              <w:t>Mellor</w:t>
            </w:r>
          </w:p>
          <w:p w14:paraId="3E3BDE47" w14:textId="77777777" w:rsidR="00C25D66" w:rsidRPr="009C36E4" w:rsidRDefault="00C25D66" w:rsidP="00C25D66">
            <w:pPr>
              <w:pStyle w:val="ListParagraph"/>
              <w:numPr>
                <w:ilvl w:val="0"/>
                <w:numId w:val="6"/>
              </w:numPr>
              <w:overflowPunct/>
              <w:textAlignment w:val="auto"/>
              <w:rPr>
                <w:rFonts w:ascii="Calibri" w:hAnsi="Calibri"/>
                <w:bCs/>
                <w:i/>
                <w:iCs/>
                <w:szCs w:val="22"/>
              </w:rPr>
            </w:pPr>
            <w:r w:rsidRPr="009C36E4">
              <w:rPr>
                <w:rFonts w:ascii="Calibri" w:hAnsi="Calibri"/>
                <w:bCs/>
                <w:i/>
                <w:iCs/>
                <w:szCs w:val="22"/>
              </w:rPr>
              <w:t>Mellor Brook</w:t>
            </w:r>
          </w:p>
          <w:p w14:paraId="19CB1626" w14:textId="77777777" w:rsidR="00C25D66" w:rsidRPr="009C36E4" w:rsidRDefault="00C25D66" w:rsidP="00C25D66">
            <w:pPr>
              <w:pStyle w:val="ListParagraph"/>
              <w:numPr>
                <w:ilvl w:val="0"/>
                <w:numId w:val="6"/>
              </w:numPr>
              <w:overflowPunct/>
              <w:textAlignment w:val="auto"/>
              <w:rPr>
                <w:rFonts w:ascii="Calibri" w:hAnsi="Calibri"/>
                <w:bCs/>
                <w:i/>
                <w:iCs/>
                <w:szCs w:val="22"/>
              </w:rPr>
            </w:pPr>
            <w:r w:rsidRPr="009C36E4">
              <w:rPr>
                <w:rFonts w:ascii="Calibri" w:hAnsi="Calibri"/>
                <w:bCs/>
                <w:i/>
                <w:iCs/>
                <w:szCs w:val="22"/>
              </w:rPr>
              <w:t>Read &amp; Simonstone</w:t>
            </w:r>
          </w:p>
          <w:p w14:paraId="2393818A" w14:textId="77777777" w:rsidR="00C25D66" w:rsidRPr="009C36E4" w:rsidRDefault="00C25D66" w:rsidP="00C25D66">
            <w:pPr>
              <w:pStyle w:val="ListParagraph"/>
              <w:numPr>
                <w:ilvl w:val="0"/>
                <w:numId w:val="6"/>
              </w:numPr>
              <w:overflowPunct/>
              <w:textAlignment w:val="auto"/>
              <w:rPr>
                <w:rFonts w:ascii="Calibri" w:hAnsi="Calibri"/>
                <w:bCs/>
                <w:i/>
                <w:iCs/>
                <w:szCs w:val="22"/>
              </w:rPr>
            </w:pPr>
            <w:r w:rsidRPr="009C36E4">
              <w:rPr>
                <w:rFonts w:ascii="Calibri" w:hAnsi="Calibri"/>
                <w:bCs/>
                <w:i/>
                <w:iCs/>
                <w:szCs w:val="22"/>
              </w:rPr>
              <w:t>Wilpshire</w:t>
            </w:r>
          </w:p>
          <w:p w14:paraId="2572E693" w14:textId="77777777" w:rsidR="007344D5" w:rsidRDefault="007344D5" w:rsidP="008542DE">
            <w:pPr>
              <w:pStyle w:val="Header"/>
              <w:tabs>
                <w:tab w:val="clear" w:pos="4153"/>
                <w:tab w:val="clear" w:pos="8306"/>
              </w:tabs>
              <w:contextualSpacing/>
              <w:jc w:val="both"/>
              <w:rPr>
                <w:rFonts w:ascii="Calibri" w:hAnsi="Calibri"/>
                <w:bCs/>
                <w:szCs w:val="22"/>
              </w:rPr>
            </w:pPr>
          </w:p>
          <w:p w14:paraId="64B9F06C" w14:textId="77777777" w:rsidR="00FA699A" w:rsidRDefault="00FA699A" w:rsidP="0048212F">
            <w:pPr>
              <w:pStyle w:val="Header"/>
              <w:contextualSpacing/>
              <w:jc w:val="both"/>
              <w:rPr>
                <w:rFonts w:ascii="Calibri" w:hAnsi="Calibri"/>
                <w:bCs/>
                <w:szCs w:val="22"/>
              </w:rPr>
            </w:pPr>
            <w:r>
              <w:rPr>
                <w:rFonts w:ascii="Calibri" w:hAnsi="Calibri"/>
                <w:bCs/>
                <w:szCs w:val="22"/>
              </w:rPr>
              <w:lastRenderedPageBreak/>
              <w:t>The first part of Policy DMG2 states that:</w:t>
            </w:r>
          </w:p>
          <w:p w14:paraId="323047C8" w14:textId="77777777" w:rsidR="00FA699A" w:rsidRDefault="00FA699A" w:rsidP="0048212F">
            <w:pPr>
              <w:pStyle w:val="Header"/>
              <w:contextualSpacing/>
              <w:jc w:val="both"/>
              <w:rPr>
                <w:rFonts w:ascii="Calibri" w:hAnsi="Calibri"/>
                <w:bCs/>
                <w:szCs w:val="22"/>
              </w:rPr>
            </w:pPr>
          </w:p>
          <w:p w14:paraId="17A61143" w14:textId="63D1959D" w:rsidR="00FA699A" w:rsidRPr="00F92F3D" w:rsidRDefault="00FA699A" w:rsidP="00FA699A">
            <w:pPr>
              <w:pStyle w:val="Header"/>
              <w:contextualSpacing/>
              <w:jc w:val="both"/>
              <w:rPr>
                <w:rFonts w:ascii="Calibri" w:hAnsi="Calibri"/>
                <w:bCs/>
                <w:i/>
                <w:iCs/>
                <w:szCs w:val="22"/>
              </w:rPr>
            </w:pPr>
            <w:r w:rsidRPr="00F92F3D">
              <w:rPr>
                <w:rFonts w:ascii="Calibri" w:hAnsi="Calibri"/>
                <w:bCs/>
                <w:i/>
                <w:iCs/>
                <w:szCs w:val="22"/>
              </w:rPr>
              <w:t>‘Development should be in accordance with the core strategy development strategy and should support the spatial vision.</w:t>
            </w:r>
          </w:p>
          <w:p w14:paraId="171A6919" w14:textId="77777777" w:rsidR="00404D7E" w:rsidRPr="00DE190C" w:rsidRDefault="00404D7E" w:rsidP="00FA699A">
            <w:pPr>
              <w:pStyle w:val="Header"/>
              <w:contextualSpacing/>
              <w:jc w:val="both"/>
              <w:rPr>
                <w:rFonts w:ascii="Calibri" w:hAnsi="Calibri"/>
                <w:bCs/>
                <w:szCs w:val="22"/>
              </w:rPr>
            </w:pPr>
          </w:p>
          <w:p w14:paraId="297BED89" w14:textId="0D72E66E" w:rsidR="00FA699A" w:rsidRPr="00C4452C" w:rsidRDefault="00FA699A" w:rsidP="00FA699A">
            <w:pPr>
              <w:pStyle w:val="Header"/>
              <w:contextualSpacing/>
              <w:jc w:val="both"/>
              <w:rPr>
                <w:rFonts w:ascii="Calibri" w:hAnsi="Calibri"/>
                <w:bCs/>
                <w:i/>
                <w:iCs/>
                <w:szCs w:val="22"/>
              </w:rPr>
            </w:pPr>
            <w:r w:rsidRPr="00C4452C">
              <w:rPr>
                <w:rFonts w:ascii="Calibri" w:hAnsi="Calibri"/>
                <w:bCs/>
                <w:i/>
                <w:iCs/>
                <w:szCs w:val="22"/>
              </w:rPr>
              <w:t>1. development proposals in the principal settlements of Clitheroe, Longridge and Whalley and the tier 1 villages should consolidate, expand or round-off development so that it is closely related to the main built up areas, ensuring this is appropriate to the scale of, and in keeping with, the existing settlement’.</w:t>
            </w:r>
          </w:p>
          <w:p w14:paraId="4D94887B" w14:textId="77777777" w:rsidR="00FA699A" w:rsidRPr="00C4452C" w:rsidRDefault="00FA699A" w:rsidP="00FA699A">
            <w:pPr>
              <w:pStyle w:val="Header"/>
              <w:contextualSpacing/>
              <w:jc w:val="both"/>
              <w:rPr>
                <w:rFonts w:ascii="Calibri" w:hAnsi="Calibri"/>
                <w:bCs/>
                <w:i/>
                <w:iCs/>
                <w:szCs w:val="22"/>
              </w:rPr>
            </w:pPr>
          </w:p>
          <w:p w14:paraId="7BF03C4E" w14:textId="297E2206" w:rsidR="0048212F" w:rsidRPr="00C4452C" w:rsidRDefault="00FA699A" w:rsidP="00FA699A">
            <w:pPr>
              <w:pStyle w:val="Header"/>
              <w:contextualSpacing/>
              <w:jc w:val="both"/>
              <w:rPr>
                <w:rFonts w:ascii="Calibri" w:hAnsi="Calibri"/>
                <w:bCs/>
                <w:i/>
                <w:iCs/>
                <w:szCs w:val="22"/>
              </w:rPr>
            </w:pPr>
            <w:r w:rsidRPr="00C4452C">
              <w:rPr>
                <w:rFonts w:ascii="Calibri" w:hAnsi="Calibri"/>
                <w:bCs/>
                <w:i/>
                <w:iCs/>
                <w:szCs w:val="22"/>
              </w:rPr>
              <w:t xml:space="preserve">The second part of this policy also </w:t>
            </w:r>
            <w:r w:rsidR="0048212F" w:rsidRPr="00C4452C">
              <w:rPr>
                <w:rFonts w:ascii="Calibri" w:hAnsi="Calibri"/>
                <w:bCs/>
                <w:i/>
                <w:iCs/>
                <w:szCs w:val="22"/>
              </w:rPr>
              <w:t>requires development within the tier 2 villages and outside the defined settlement areas to meet at least one of six considerations which are listed as follows:</w:t>
            </w:r>
          </w:p>
          <w:p w14:paraId="4A467545" w14:textId="77777777" w:rsidR="0048212F" w:rsidRPr="00C4452C" w:rsidRDefault="0048212F" w:rsidP="0048212F">
            <w:pPr>
              <w:pStyle w:val="Header"/>
              <w:contextualSpacing/>
              <w:jc w:val="both"/>
              <w:rPr>
                <w:rFonts w:ascii="Calibri" w:hAnsi="Calibri"/>
                <w:bCs/>
                <w:i/>
                <w:iCs/>
                <w:szCs w:val="22"/>
              </w:rPr>
            </w:pPr>
          </w:p>
          <w:p w14:paraId="0C0DB881" w14:textId="77777777" w:rsidR="0048212F" w:rsidRPr="00C4452C" w:rsidRDefault="0048212F" w:rsidP="0048212F">
            <w:pPr>
              <w:pStyle w:val="Header"/>
              <w:contextualSpacing/>
              <w:jc w:val="both"/>
              <w:rPr>
                <w:rFonts w:ascii="Calibri" w:hAnsi="Calibri"/>
                <w:bCs/>
                <w:i/>
                <w:iCs/>
                <w:szCs w:val="22"/>
              </w:rPr>
            </w:pPr>
            <w:r w:rsidRPr="00C4452C">
              <w:rPr>
                <w:rFonts w:ascii="Calibri" w:hAnsi="Calibri"/>
                <w:bCs/>
                <w:i/>
                <w:iCs/>
                <w:szCs w:val="22"/>
              </w:rPr>
              <w:t xml:space="preserve">1. The development should be essential to the local economy or social well-being of the </w:t>
            </w:r>
          </w:p>
          <w:p w14:paraId="056BD794" w14:textId="77777777" w:rsidR="0048212F" w:rsidRPr="00C4452C" w:rsidRDefault="0048212F" w:rsidP="0048212F">
            <w:pPr>
              <w:pStyle w:val="Header"/>
              <w:contextualSpacing/>
              <w:jc w:val="both"/>
              <w:rPr>
                <w:rFonts w:ascii="Calibri" w:hAnsi="Calibri"/>
                <w:bCs/>
                <w:i/>
                <w:iCs/>
                <w:szCs w:val="22"/>
              </w:rPr>
            </w:pPr>
            <w:r w:rsidRPr="00C4452C">
              <w:rPr>
                <w:rFonts w:ascii="Calibri" w:hAnsi="Calibri"/>
                <w:bCs/>
                <w:i/>
                <w:iCs/>
                <w:szCs w:val="22"/>
              </w:rPr>
              <w:t xml:space="preserve">area. </w:t>
            </w:r>
          </w:p>
          <w:p w14:paraId="1539EA69" w14:textId="77777777" w:rsidR="0048212F" w:rsidRPr="00C4452C" w:rsidRDefault="0048212F" w:rsidP="0048212F">
            <w:pPr>
              <w:pStyle w:val="Header"/>
              <w:contextualSpacing/>
              <w:jc w:val="both"/>
              <w:rPr>
                <w:rFonts w:ascii="Calibri" w:hAnsi="Calibri"/>
                <w:bCs/>
                <w:i/>
                <w:iCs/>
                <w:szCs w:val="22"/>
              </w:rPr>
            </w:pPr>
          </w:p>
          <w:p w14:paraId="69E286F9" w14:textId="77777777" w:rsidR="0048212F" w:rsidRPr="00C4452C" w:rsidRDefault="0048212F" w:rsidP="0048212F">
            <w:pPr>
              <w:pStyle w:val="Header"/>
              <w:contextualSpacing/>
              <w:jc w:val="both"/>
              <w:rPr>
                <w:rFonts w:ascii="Calibri" w:hAnsi="Calibri"/>
                <w:bCs/>
                <w:i/>
                <w:iCs/>
                <w:szCs w:val="22"/>
              </w:rPr>
            </w:pPr>
            <w:r w:rsidRPr="00C4452C">
              <w:rPr>
                <w:rFonts w:ascii="Calibri" w:hAnsi="Calibri"/>
                <w:bCs/>
                <w:i/>
                <w:iCs/>
                <w:szCs w:val="22"/>
              </w:rPr>
              <w:t>2. The development is needed for the purposes of forestry or agriculture.</w:t>
            </w:r>
          </w:p>
          <w:p w14:paraId="3260ED94" w14:textId="77777777" w:rsidR="0048212F" w:rsidRPr="00C4452C" w:rsidRDefault="0048212F" w:rsidP="0048212F">
            <w:pPr>
              <w:pStyle w:val="Header"/>
              <w:contextualSpacing/>
              <w:jc w:val="both"/>
              <w:rPr>
                <w:rFonts w:ascii="Calibri" w:hAnsi="Calibri"/>
                <w:bCs/>
                <w:i/>
                <w:iCs/>
                <w:szCs w:val="22"/>
              </w:rPr>
            </w:pPr>
            <w:r w:rsidRPr="00C4452C">
              <w:rPr>
                <w:rFonts w:ascii="Calibri" w:hAnsi="Calibri"/>
                <w:bCs/>
                <w:i/>
                <w:iCs/>
                <w:szCs w:val="22"/>
              </w:rPr>
              <w:t xml:space="preserve"> </w:t>
            </w:r>
          </w:p>
          <w:p w14:paraId="4B87088D" w14:textId="77777777" w:rsidR="0048212F" w:rsidRPr="00C4452C" w:rsidRDefault="0048212F" w:rsidP="0048212F">
            <w:pPr>
              <w:pStyle w:val="Header"/>
              <w:contextualSpacing/>
              <w:jc w:val="both"/>
              <w:rPr>
                <w:rFonts w:ascii="Calibri" w:hAnsi="Calibri"/>
                <w:bCs/>
                <w:i/>
                <w:iCs/>
                <w:szCs w:val="22"/>
              </w:rPr>
            </w:pPr>
            <w:r w:rsidRPr="00C4452C">
              <w:rPr>
                <w:rFonts w:ascii="Calibri" w:hAnsi="Calibri"/>
                <w:bCs/>
                <w:i/>
                <w:iCs/>
                <w:szCs w:val="22"/>
              </w:rPr>
              <w:t xml:space="preserve">3. The development is for local needs housing which meets an identified need and is </w:t>
            </w:r>
          </w:p>
          <w:p w14:paraId="165FF57F" w14:textId="77777777" w:rsidR="0048212F" w:rsidRPr="00C4452C" w:rsidRDefault="0048212F" w:rsidP="0048212F">
            <w:pPr>
              <w:pStyle w:val="Header"/>
              <w:contextualSpacing/>
              <w:jc w:val="both"/>
              <w:rPr>
                <w:rFonts w:ascii="Calibri" w:hAnsi="Calibri"/>
                <w:bCs/>
                <w:i/>
                <w:iCs/>
                <w:szCs w:val="22"/>
              </w:rPr>
            </w:pPr>
            <w:r w:rsidRPr="00C4452C">
              <w:rPr>
                <w:rFonts w:ascii="Calibri" w:hAnsi="Calibri"/>
                <w:bCs/>
                <w:i/>
                <w:iCs/>
                <w:szCs w:val="22"/>
              </w:rPr>
              <w:t xml:space="preserve">secured as such. </w:t>
            </w:r>
          </w:p>
          <w:p w14:paraId="7A59CEAB" w14:textId="77777777" w:rsidR="0048212F" w:rsidRPr="00C4452C" w:rsidRDefault="0048212F" w:rsidP="0048212F">
            <w:pPr>
              <w:pStyle w:val="Header"/>
              <w:contextualSpacing/>
              <w:jc w:val="both"/>
              <w:rPr>
                <w:rFonts w:ascii="Calibri" w:hAnsi="Calibri"/>
                <w:bCs/>
                <w:i/>
                <w:iCs/>
                <w:szCs w:val="22"/>
              </w:rPr>
            </w:pPr>
          </w:p>
          <w:p w14:paraId="625A658A" w14:textId="77777777" w:rsidR="0048212F" w:rsidRPr="00C4452C" w:rsidRDefault="0048212F" w:rsidP="0048212F">
            <w:pPr>
              <w:pStyle w:val="Header"/>
              <w:contextualSpacing/>
              <w:jc w:val="both"/>
              <w:rPr>
                <w:rFonts w:ascii="Calibri" w:hAnsi="Calibri"/>
                <w:bCs/>
                <w:i/>
                <w:iCs/>
                <w:szCs w:val="22"/>
              </w:rPr>
            </w:pPr>
            <w:r w:rsidRPr="00C4452C">
              <w:rPr>
                <w:rFonts w:ascii="Calibri" w:hAnsi="Calibri"/>
                <w:bCs/>
                <w:i/>
                <w:iCs/>
                <w:szCs w:val="22"/>
              </w:rPr>
              <w:t xml:space="preserve">4. The development is for small scale tourism or recreational developments appropriate </w:t>
            </w:r>
          </w:p>
          <w:p w14:paraId="40F63CDE" w14:textId="77777777" w:rsidR="0048212F" w:rsidRPr="00C4452C" w:rsidRDefault="0048212F" w:rsidP="0048212F">
            <w:pPr>
              <w:pStyle w:val="Header"/>
              <w:contextualSpacing/>
              <w:jc w:val="both"/>
              <w:rPr>
                <w:rFonts w:ascii="Calibri" w:hAnsi="Calibri"/>
                <w:bCs/>
                <w:i/>
                <w:iCs/>
                <w:szCs w:val="22"/>
              </w:rPr>
            </w:pPr>
            <w:r w:rsidRPr="00C4452C">
              <w:rPr>
                <w:rFonts w:ascii="Calibri" w:hAnsi="Calibri"/>
                <w:bCs/>
                <w:i/>
                <w:iCs/>
                <w:szCs w:val="22"/>
              </w:rPr>
              <w:t xml:space="preserve">to a rural area. </w:t>
            </w:r>
          </w:p>
          <w:p w14:paraId="4189F367" w14:textId="77777777" w:rsidR="0048212F" w:rsidRPr="00C4452C" w:rsidRDefault="0048212F" w:rsidP="0048212F">
            <w:pPr>
              <w:pStyle w:val="Header"/>
              <w:contextualSpacing/>
              <w:jc w:val="both"/>
              <w:rPr>
                <w:rFonts w:ascii="Calibri" w:hAnsi="Calibri"/>
                <w:bCs/>
                <w:i/>
                <w:iCs/>
                <w:szCs w:val="22"/>
              </w:rPr>
            </w:pPr>
          </w:p>
          <w:p w14:paraId="644B9FB1" w14:textId="77777777" w:rsidR="0048212F" w:rsidRPr="00C4452C" w:rsidRDefault="0048212F" w:rsidP="0048212F">
            <w:pPr>
              <w:pStyle w:val="Header"/>
              <w:contextualSpacing/>
              <w:jc w:val="both"/>
              <w:rPr>
                <w:rFonts w:ascii="Calibri" w:hAnsi="Calibri"/>
                <w:bCs/>
                <w:i/>
                <w:iCs/>
                <w:szCs w:val="22"/>
              </w:rPr>
            </w:pPr>
            <w:r w:rsidRPr="00C4452C">
              <w:rPr>
                <w:rFonts w:ascii="Calibri" w:hAnsi="Calibri"/>
                <w:bCs/>
                <w:i/>
                <w:iCs/>
                <w:szCs w:val="22"/>
              </w:rPr>
              <w:t xml:space="preserve">5. The development is for small-scale uses appropriate to a rural area where a local need or benefit can be demonstrated. </w:t>
            </w:r>
          </w:p>
          <w:p w14:paraId="443A2B02" w14:textId="77777777" w:rsidR="0048212F" w:rsidRPr="00C4452C" w:rsidRDefault="0048212F" w:rsidP="0048212F">
            <w:pPr>
              <w:pStyle w:val="Header"/>
              <w:contextualSpacing/>
              <w:jc w:val="both"/>
              <w:rPr>
                <w:rFonts w:ascii="Calibri" w:hAnsi="Calibri"/>
                <w:bCs/>
                <w:i/>
                <w:iCs/>
                <w:szCs w:val="22"/>
              </w:rPr>
            </w:pPr>
          </w:p>
          <w:p w14:paraId="0690C02D" w14:textId="532C40C9" w:rsidR="0048212F" w:rsidRPr="00C4452C" w:rsidRDefault="0048212F" w:rsidP="0048212F">
            <w:pPr>
              <w:pStyle w:val="Header"/>
              <w:contextualSpacing/>
              <w:jc w:val="both"/>
              <w:rPr>
                <w:rFonts w:ascii="Calibri" w:hAnsi="Calibri"/>
                <w:bCs/>
                <w:i/>
                <w:iCs/>
                <w:szCs w:val="22"/>
              </w:rPr>
            </w:pPr>
            <w:r w:rsidRPr="00C4452C">
              <w:rPr>
                <w:rFonts w:ascii="Calibri" w:hAnsi="Calibri"/>
                <w:bCs/>
                <w:i/>
                <w:iCs/>
                <w:szCs w:val="22"/>
              </w:rPr>
              <w:t>6. The development is compatible with the enterprise zone designation</w:t>
            </w:r>
            <w:r w:rsidR="00F92F3D">
              <w:rPr>
                <w:rFonts w:ascii="Calibri" w:hAnsi="Calibri"/>
                <w:bCs/>
                <w:i/>
                <w:iCs/>
                <w:szCs w:val="22"/>
              </w:rPr>
              <w:t xml:space="preserve">’. </w:t>
            </w:r>
          </w:p>
          <w:p w14:paraId="4666D0E8" w14:textId="77777777" w:rsidR="0048212F" w:rsidRPr="00FC7786" w:rsidRDefault="0048212F" w:rsidP="0048212F">
            <w:pPr>
              <w:pStyle w:val="Header"/>
              <w:rPr>
                <w:rFonts w:ascii="Calibri" w:hAnsi="Calibri"/>
                <w:bCs/>
                <w:szCs w:val="22"/>
              </w:rPr>
            </w:pPr>
          </w:p>
          <w:p w14:paraId="1DC3CAF8" w14:textId="77777777" w:rsidR="008254DA" w:rsidRDefault="0048212F" w:rsidP="0048212F">
            <w:pPr>
              <w:pStyle w:val="Header"/>
              <w:tabs>
                <w:tab w:val="clear" w:pos="4153"/>
                <w:tab w:val="clear" w:pos="8306"/>
              </w:tabs>
              <w:contextualSpacing/>
              <w:jc w:val="both"/>
              <w:rPr>
                <w:rFonts w:ascii="Calibri" w:hAnsi="Calibri"/>
                <w:bCs/>
                <w:szCs w:val="22"/>
              </w:rPr>
            </w:pPr>
            <w:r w:rsidRPr="00FC7786">
              <w:rPr>
                <w:rFonts w:ascii="Calibri" w:hAnsi="Calibri"/>
                <w:bCs/>
                <w:szCs w:val="22"/>
              </w:rPr>
              <w:t>Policy DMH3 seeks to limit residential development in the open countryside and AONB to development essential for the purposes of agriculture or residential development which meets an identified local need.</w:t>
            </w:r>
          </w:p>
          <w:p w14:paraId="31D7AB4E" w14:textId="5D1894D5" w:rsidR="003C2FAB" w:rsidRPr="00404D7E" w:rsidRDefault="0048212F" w:rsidP="008542DE">
            <w:pPr>
              <w:pStyle w:val="Header"/>
              <w:tabs>
                <w:tab w:val="clear" w:pos="4153"/>
                <w:tab w:val="clear" w:pos="8306"/>
              </w:tabs>
              <w:contextualSpacing/>
              <w:jc w:val="both"/>
              <w:rPr>
                <w:rFonts w:ascii="Calibri" w:hAnsi="Calibri"/>
                <w:bCs/>
                <w:szCs w:val="22"/>
              </w:rPr>
            </w:pPr>
            <w:r w:rsidRPr="00FC7786">
              <w:rPr>
                <w:rFonts w:ascii="Calibri" w:hAnsi="Calibri"/>
                <w:bCs/>
                <w:szCs w:val="22"/>
              </w:rPr>
              <w:t xml:space="preserve">  </w:t>
            </w:r>
          </w:p>
          <w:p w14:paraId="6B73667F" w14:textId="57337B57" w:rsidR="00DE6166" w:rsidRPr="00DE190C" w:rsidRDefault="008254DA" w:rsidP="008542DE">
            <w:pPr>
              <w:pStyle w:val="Header"/>
              <w:tabs>
                <w:tab w:val="clear" w:pos="4153"/>
                <w:tab w:val="clear" w:pos="8306"/>
              </w:tabs>
              <w:contextualSpacing/>
              <w:jc w:val="both"/>
              <w:rPr>
                <w:rFonts w:ascii="Calibri" w:hAnsi="Calibri"/>
                <w:bCs/>
                <w:szCs w:val="22"/>
              </w:rPr>
            </w:pPr>
            <w:r>
              <w:rPr>
                <w:rFonts w:ascii="Calibri" w:hAnsi="Calibri"/>
                <w:bCs/>
                <w:szCs w:val="22"/>
              </w:rPr>
              <w:t>There have been several other planning applications for residential development at the site which have been refused, including on</w:t>
            </w:r>
            <w:r w:rsidR="009C36E4">
              <w:rPr>
                <w:rFonts w:ascii="Calibri" w:hAnsi="Calibri"/>
                <w:bCs/>
                <w:szCs w:val="22"/>
              </w:rPr>
              <w:t>e</w:t>
            </w:r>
            <w:r>
              <w:rPr>
                <w:rFonts w:ascii="Calibri" w:hAnsi="Calibri"/>
                <w:bCs/>
                <w:szCs w:val="22"/>
              </w:rPr>
              <w:t xml:space="preserve"> o</w:t>
            </w:r>
            <w:r w:rsidRPr="00DE190C">
              <w:rPr>
                <w:rFonts w:ascii="Calibri" w:hAnsi="Calibri"/>
                <w:bCs/>
                <w:szCs w:val="22"/>
              </w:rPr>
              <w:t xml:space="preserve">utline application for up to 10 self-build dwellings which was dismissed at appeal. </w:t>
            </w:r>
          </w:p>
          <w:p w14:paraId="09E8BB8F" w14:textId="77777777" w:rsidR="00404D7E" w:rsidRPr="00DE190C" w:rsidRDefault="00404D7E" w:rsidP="008542DE">
            <w:pPr>
              <w:pStyle w:val="Header"/>
              <w:tabs>
                <w:tab w:val="clear" w:pos="4153"/>
                <w:tab w:val="clear" w:pos="8306"/>
              </w:tabs>
              <w:contextualSpacing/>
              <w:jc w:val="both"/>
              <w:rPr>
                <w:rFonts w:ascii="Calibri" w:hAnsi="Calibri"/>
                <w:bCs/>
                <w:szCs w:val="22"/>
              </w:rPr>
            </w:pPr>
          </w:p>
          <w:p w14:paraId="6F7E2186" w14:textId="76314258" w:rsidR="003E110F" w:rsidRPr="00DE190C" w:rsidRDefault="00404D7E" w:rsidP="008542DE">
            <w:pPr>
              <w:pStyle w:val="Header"/>
              <w:tabs>
                <w:tab w:val="clear" w:pos="4153"/>
                <w:tab w:val="clear" w:pos="8306"/>
              </w:tabs>
              <w:contextualSpacing/>
              <w:jc w:val="both"/>
              <w:rPr>
                <w:rFonts w:ascii="Calibri" w:hAnsi="Calibri"/>
                <w:bCs/>
                <w:szCs w:val="22"/>
              </w:rPr>
            </w:pPr>
            <w:r w:rsidRPr="00DE190C">
              <w:rPr>
                <w:rFonts w:ascii="Calibri" w:hAnsi="Calibri"/>
                <w:bCs/>
                <w:szCs w:val="22"/>
              </w:rPr>
              <w:t xml:space="preserve">Since the dismissed appeal at the site in February 2020, another planning application was submitted under planning ref: 3/2021/0070 for Permission in Principle for up to 6 dwellings which was refused. </w:t>
            </w:r>
            <w:r w:rsidR="008636DA" w:rsidRPr="00DE190C">
              <w:rPr>
                <w:rFonts w:ascii="Calibri" w:hAnsi="Calibri"/>
                <w:bCs/>
                <w:szCs w:val="22"/>
              </w:rPr>
              <w:t>The delegated report for planning ref: 3/2021/0070 refers to an appeal at another site to the edge of Clitheroe which is located within the Open Countryside but outside and adjacent to the settlement boundary (appeal ref:</w:t>
            </w:r>
            <w:r w:rsidR="00FA699A" w:rsidRPr="00DE190C">
              <w:rPr>
                <w:rFonts w:ascii="Calibri" w:hAnsi="Calibri"/>
                <w:bCs/>
                <w:szCs w:val="22"/>
              </w:rPr>
              <w:t xml:space="preserve"> APP/T2350/W/20/3253310 </w:t>
            </w:r>
            <w:r w:rsidR="003E110F" w:rsidRPr="00DE190C">
              <w:rPr>
                <w:rFonts w:ascii="Calibri" w:hAnsi="Calibri"/>
                <w:bCs/>
                <w:szCs w:val="22"/>
              </w:rPr>
              <w:t>for the erection of 39 dwellings with landscaping and associated works, and access from adjacent development site</w:t>
            </w:r>
            <w:r w:rsidR="008636DA" w:rsidRPr="00DE190C">
              <w:rPr>
                <w:rFonts w:ascii="Calibri" w:hAnsi="Calibri"/>
                <w:bCs/>
                <w:szCs w:val="22"/>
              </w:rPr>
              <w:t>).</w:t>
            </w:r>
            <w:r w:rsidR="003E110F" w:rsidRPr="00DE190C">
              <w:rPr>
                <w:rFonts w:ascii="Calibri" w:hAnsi="Calibri"/>
                <w:bCs/>
                <w:szCs w:val="22"/>
              </w:rPr>
              <w:t xml:space="preserve"> At the time planning ref: 3/2021/0070 was determined</w:t>
            </w:r>
            <w:r w:rsidR="008636DA" w:rsidRPr="00DE190C">
              <w:rPr>
                <w:rFonts w:ascii="Calibri" w:hAnsi="Calibri"/>
                <w:bCs/>
                <w:szCs w:val="22"/>
              </w:rPr>
              <w:t>,</w:t>
            </w:r>
            <w:r w:rsidR="003E110F" w:rsidRPr="00DE190C">
              <w:rPr>
                <w:rFonts w:ascii="Calibri" w:hAnsi="Calibri"/>
                <w:bCs/>
                <w:szCs w:val="22"/>
              </w:rPr>
              <w:t xml:space="preserve"> the Council had engaged in undertaking a Judicial review of the aforementioned decision and considered the inspector wrongfully interpreted and failed to appropriately or properly engage Policy DMG2. </w:t>
            </w:r>
          </w:p>
          <w:p w14:paraId="229C0A60" w14:textId="77777777" w:rsidR="003E110F" w:rsidRPr="00DE190C" w:rsidRDefault="003E110F" w:rsidP="008542DE">
            <w:pPr>
              <w:pStyle w:val="Header"/>
              <w:tabs>
                <w:tab w:val="clear" w:pos="4153"/>
                <w:tab w:val="clear" w:pos="8306"/>
              </w:tabs>
              <w:contextualSpacing/>
              <w:jc w:val="both"/>
              <w:rPr>
                <w:rFonts w:ascii="Calibri" w:hAnsi="Calibri"/>
                <w:bCs/>
                <w:szCs w:val="22"/>
              </w:rPr>
            </w:pPr>
          </w:p>
          <w:p w14:paraId="1B8F2DDA" w14:textId="27456400" w:rsidR="00FA699A" w:rsidRPr="00DE190C" w:rsidRDefault="008636DA" w:rsidP="008542DE">
            <w:pPr>
              <w:pStyle w:val="Header"/>
              <w:tabs>
                <w:tab w:val="clear" w:pos="4153"/>
                <w:tab w:val="clear" w:pos="8306"/>
              </w:tabs>
              <w:contextualSpacing/>
              <w:jc w:val="both"/>
              <w:rPr>
                <w:rFonts w:ascii="Calibri" w:hAnsi="Calibri"/>
                <w:bCs/>
                <w:szCs w:val="22"/>
              </w:rPr>
            </w:pPr>
            <w:r w:rsidRPr="00DE190C">
              <w:rPr>
                <w:rFonts w:ascii="Calibri" w:hAnsi="Calibri"/>
                <w:bCs/>
                <w:szCs w:val="22"/>
              </w:rPr>
              <w:t>The original a</w:t>
            </w:r>
            <w:r w:rsidR="00FA699A" w:rsidRPr="00DE190C">
              <w:rPr>
                <w:rFonts w:ascii="Calibri" w:hAnsi="Calibri"/>
                <w:bCs/>
                <w:szCs w:val="22"/>
              </w:rPr>
              <w:t xml:space="preserve">ppeal decision was quashed </w:t>
            </w:r>
            <w:r w:rsidRPr="00DE190C">
              <w:rPr>
                <w:rFonts w:ascii="Calibri" w:hAnsi="Calibri"/>
                <w:bCs/>
                <w:szCs w:val="22"/>
              </w:rPr>
              <w:t>and the appeal was subsequently re-determined. Th</w:t>
            </w:r>
            <w:r w:rsidR="00FA699A" w:rsidRPr="00DE190C">
              <w:rPr>
                <w:rFonts w:ascii="Calibri" w:hAnsi="Calibri"/>
                <w:bCs/>
                <w:szCs w:val="22"/>
              </w:rPr>
              <w:t xml:space="preserve">e High Court held that ‘in’ the principal settlements means proposals falling within the settlement boundary, and that this requirement should first be met before considering whether the proposal would consolidate, expand or round-off development. </w:t>
            </w:r>
            <w:r w:rsidRPr="00DE190C">
              <w:rPr>
                <w:rFonts w:ascii="Calibri" w:hAnsi="Calibri"/>
                <w:bCs/>
                <w:szCs w:val="22"/>
              </w:rPr>
              <w:t xml:space="preserve">The redetermined appeal also noted that it was </w:t>
            </w:r>
            <w:r w:rsidR="00FA699A" w:rsidRPr="00DE190C">
              <w:rPr>
                <w:rFonts w:ascii="Calibri" w:hAnsi="Calibri"/>
                <w:bCs/>
                <w:szCs w:val="22"/>
              </w:rPr>
              <w:t>clear following the judgement of the court that as the</w:t>
            </w:r>
            <w:r w:rsidRPr="00DE190C">
              <w:rPr>
                <w:rFonts w:ascii="Calibri" w:hAnsi="Calibri"/>
                <w:bCs/>
                <w:szCs w:val="22"/>
              </w:rPr>
              <w:t xml:space="preserve"> appeal site </w:t>
            </w:r>
            <w:r w:rsidR="00FA699A" w:rsidRPr="00DE190C">
              <w:rPr>
                <w:rFonts w:ascii="Calibri" w:hAnsi="Calibri"/>
                <w:bCs/>
                <w:szCs w:val="22"/>
              </w:rPr>
              <w:t>f</w:t>
            </w:r>
            <w:r w:rsidRPr="00DE190C">
              <w:rPr>
                <w:rFonts w:ascii="Calibri" w:hAnsi="Calibri"/>
                <w:bCs/>
                <w:szCs w:val="22"/>
              </w:rPr>
              <w:t>ell</w:t>
            </w:r>
            <w:r w:rsidR="00FA699A" w:rsidRPr="00DE190C">
              <w:rPr>
                <w:rFonts w:ascii="Calibri" w:hAnsi="Calibri"/>
                <w:bCs/>
                <w:szCs w:val="22"/>
              </w:rPr>
              <w:t xml:space="preserve"> outside of the settlement boundary of Clitheroe</w:t>
            </w:r>
            <w:r w:rsidRPr="00DE190C">
              <w:rPr>
                <w:rFonts w:ascii="Calibri" w:hAnsi="Calibri"/>
                <w:bCs/>
                <w:szCs w:val="22"/>
              </w:rPr>
              <w:t xml:space="preserve"> and the</w:t>
            </w:r>
            <w:r w:rsidR="00FA699A" w:rsidRPr="00DE190C">
              <w:rPr>
                <w:rFonts w:ascii="Calibri" w:hAnsi="Calibri"/>
                <w:bCs/>
                <w:szCs w:val="22"/>
              </w:rPr>
              <w:t xml:space="preserve"> first part of Policy DMG2 is not applicable to the proposal</w:t>
            </w:r>
            <w:r w:rsidR="003E110F" w:rsidRPr="00DE190C">
              <w:rPr>
                <w:rFonts w:ascii="Calibri" w:hAnsi="Calibri"/>
                <w:bCs/>
                <w:szCs w:val="22"/>
              </w:rPr>
              <w:t>.</w:t>
            </w:r>
          </w:p>
          <w:p w14:paraId="000D68EF" w14:textId="77777777" w:rsidR="008636DA" w:rsidRPr="00DE190C" w:rsidRDefault="008636DA" w:rsidP="008542DE">
            <w:pPr>
              <w:pStyle w:val="Header"/>
              <w:tabs>
                <w:tab w:val="clear" w:pos="4153"/>
                <w:tab w:val="clear" w:pos="8306"/>
              </w:tabs>
              <w:contextualSpacing/>
              <w:jc w:val="both"/>
              <w:rPr>
                <w:rFonts w:ascii="Calibri" w:hAnsi="Calibri"/>
                <w:bCs/>
                <w:szCs w:val="22"/>
              </w:rPr>
            </w:pPr>
          </w:p>
          <w:p w14:paraId="35C4ACFC" w14:textId="6A3AA9C7" w:rsidR="008636DA" w:rsidRPr="00DE190C" w:rsidRDefault="008636DA" w:rsidP="008542DE">
            <w:pPr>
              <w:pStyle w:val="Header"/>
              <w:tabs>
                <w:tab w:val="clear" w:pos="4153"/>
                <w:tab w:val="clear" w:pos="8306"/>
              </w:tabs>
              <w:contextualSpacing/>
              <w:jc w:val="both"/>
              <w:rPr>
                <w:rFonts w:ascii="Calibri" w:hAnsi="Calibri"/>
                <w:bCs/>
                <w:szCs w:val="22"/>
              </w:rPr>
            </w:pPr>
            <w:r w:rsidRPr="00DE190C">
              <w:rPr>
                <w:rFonts w:ascii="Calibri" w:hAnsi="Calibri"/>
                <w:bCs/>
                <w:szCs w:val="22"/>
              </w:rPr>
              <w:t xml:space="preserve">This appeal is of relevance to the application site as the proposed dwelling would be located outside of the settlement boundary of Longridge, albeit closely related to the settlement. </w:t>
            </w:r>
          </w:p>
          <w:p w14:paraId="3687E374" w14:textId="77777777" w:rsidR="00E5169C" w:rsidRPr="00DE190C" w:rsidRDefault="00E5169C" w:rsidP="008542DE">
            <w:pPr>
              <w:pStyle w:val="Header"/>
              <w:tabs>
                <w:tab w:val="clear" w:pos="4153"/>
                <w:tab w:val="clear" w:pos="8306"/>
              </w:tabs>
              <w:contextualSpacing/>
              <w:jc w:val="both"/>
              <w:rPr>
                <w:rFonts w:ascii="Calibri" w:hAnsi="Calibri"/>
                <w:bCs/>
                <w:szCs w:val="22"/>
              </w:rPr>
            </w:pPr>
          </w:p>
          <w:p w14:paraId="70AE4A92" w14:textId="2A28A460" w:rsidR="00E5169C" w:rsidRPr="00DE190C" w:rsidRDefault="00E5169C" w:rsidP="008542DE">
            <w:pPr>
              <w:pStyle w:val="Header"/>
              <w:tabs>
                <w:tab w:val="clear" w:pos="4153"/>
                <w:tab w:val="clear" w:pos="8306"/>
              </w:tabs>
              <w:contextualSpacing/>
              <w:jc w:val="both"/>
              <w:rPr>
                <w:rFonts w:ascii="Calibri" w:hAnsi="Calibri"/>
                <w:bCs/>
                <w:szCs w:val="22"/>
              </w:rPr>
            </w:pPr>
            <w:r w:rsidRPr="00DE190C">
              <w:rPr>
                <w:rFonts w:ascii="Calibri" w:hAnsi="Calibri"/>
                <w:bCs/>
                <w:szCs w:val="22"/>
              </w:rPr>
              <w:lastRenderedPageBreak/>
              <w:t xml:space="preserve">Paragraph 7.1 of the applicants Planning Statement states that ‘Given the application site’s proximity to the settlement, it is deemed to form a logical point for residential development, negating the need for housing development in smaller settlements and more isolated rural locations’. </w:t>
            </w:r>
          </w:p>
          <w:p w14:paraId="722BF99A" w14:textId="77777777" w:rsidR="00E5169C" w:rsidRPr="00DE190C" w:rsidRDefault="00E5169C" w:rsidP="008542DE">
            <w:pPr>
              <w:pStyle w:val="Header"/>
              <w:tabs>
                <w:tab w:val="clear" w:pos="4153"/>
                <w:tab w:val="clear" w:pos="8306"/>
              </w:tabs>
              <w:contextualSpacing/>
              <w:jc w:val="both"/>
              <w:rPr>
                <w:rFonts w:ascii="Calibri" w:hAnsi="Calibri"/>
                <w:bCs/>
                <w:szCs w:val="22"/>
              </w:rPr>
            </w:pPr>
          </w:p>
          <w:p w14:paraId="34FFC2DD" w14:textId="314AF65A" w:rsidR="00E5169C" w:rsidRPr="00DE190C" w:rsidRDefault="00E5169C" w:rsidP="008542DE">
            <w:pPr>
              <w:pStyle w:val="Header"/>
              <w:tabs>
                <w:tab w:val="clear" w:pos="4153"/>
                <w:tab w:val="clear" w:pos="8306"/>
              </w:tabs>
              <w:contextualSpacing/>
              <w:jc w:val="both"/>
              <w:rPr>
                <w:rFonts w:ascii="Calibri" w:hAnsi="Calibri"/>
                <w:bCs/>
                <w:szCs w:val="22"/>
              </w:rPr>
            </w:pPr>
            <w:r w:rsidRPr="00DE190C">
              <w:rPr>
                <w:rFonts w:ascii="Calibri" w:hAnsi="Calibri"/>
                <w:bCs/>
                <w:szCs w:val="22"/>
              </w:rPr>
              <w:t>The statement also states that ‘Further support is offered by Key Statement DMG2 which states in principal settlements development proposals should consolidate, expand or round-off development so that it is closely related to the main built-up areas. Although located beyond the settlement boundary, dwellings adjoin the site’s southern boundary along Chaigley Road which lie within the settlement of Longridge. The site is therefore well related to Longridge given its proximity to the settlement boundary and these properties, with the proposals representing a minor development which continue the existing grain of built form’.</w:t>
            </w:r>
          </w:p>
          <w:p w14:paraId="53D29390" w14:textId="77777777" w:rsidR="00FA699A" w:rsidRPr="00DE190C" w:rsidRDefault="00FA699A" w:rsidP="008542DE">
            <w:pPr>
              <w:pStyle w:val="Header"/>
              <w:tabs>
                <w:tab w:val="clear" w:pos="4153"/>
                <w:tab w:val="clear" w:pos="8306"/>
              </w:tabs>
              <w:contextualSpacing/>
              <w:jc w:val="both"/>
              <w:rPr>
                <w:rFonts w:ascii="Calibri" w:hAnsi="Calibri"/>
                <w:bCs/>
                <w:szCs w:val="22"/>
              </w:rPr>
            </w:pPr>
          </w:p>
          <w:p w14:paraId="5C8390E9" w14:textId="77777777" w:rsidR="00E5169C" w:rsidRPr="00DE190C" w:rsidRDefault="00E5169C"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Whilst this is noted, appeal ref: </w:t>
            </w:r>
            <w:r w:rsidRPr="00DE190C">
              <w:rPr>
                <w:rFonts w:ascii="Calibri" w:hAnsi="Calibri"/>
                <w:bCs/>
                <w:szCs w:val="22"/>
              </w:rPr>
              <w:t>APP/T2350/W/20/3253310 is of relevance where the appellant put forward a similar argument. The inspector noted the following:</w:t>
            </w:r>
          </w:p>
          <w:p w14:paraId="4894FA8E" w14:textId="77777777" w:rsidR="00E5169C" w:rsidRDefault="00E5169C" w:rsidP="008542DE">
            <w:pPr>
              <w:pStyle w:val="Header"/>
              <w:tabs>
                <w:tab w:val="clear" w:pos="4153"/>
                <w:tab w:val="clear" w:pos="8306"/>
              </w:tabs>
              <w:contextualSpacing/>
              <w:jc w:val="both"/>
              <w:rPr>
                <w:rFonts w:ascii="Calibri" w:hAnsi="Calibri"/>
                <w:bCs/>
                <w:szCs w:val="22"/>
              </w:rPr>
            </w:pPr>
          </w:p>
          <w:p w14:paraId="561B7B30" w14:textId="57F7150E" w:rsidR="003E110F" w:rsidRPr="00D2727B" w:rsidRDefault="00E5169C" w:rsidP="008542DE">
            <w:pPr>
              <w:pStyle w:val="Header"/>
              <w:tabs>
                <w:tab w:val="clear" w:pos="4153"/>
                <w:tab w:val="clear" w:pos="8306"/>
              </w:tabs>
              <w:contextualSpacing/>
              <w:jc w:val="both"/>
              <w:rPr>
                <w:rFonts w:ascii="Calibri" w:hAnsi="Calibri"/>
                <w:bCs/>
                <w:i/>
                <w:iCs/>
                <w:szCs w:val="22"/>
              </w:rPr>
            </w:pPr>
            <w:r w:rsidRPr="00D2727B">
              <w:rPr>
                <w:rFonts w:ascii="Calibri" w:hAnsi="Calibri"/>
                <w:bCs/>
                <w:i/>
                <w:iCs/>
                <w:szCs w:val="22"/>
              </w:rPr>
              <w:t>‘</w:t>
            </w:r>
            <w:r w:rsidR="003E110F" w:rsidRPr="00D2727B">
              <w:rPr>
                <w:rFonts w:ascii="Calibri" w:hAnsi="Calibri"/>
                <w:bCs/>
                <w:i/>
                <w:iCs/>
                <w:szCs w:val="22"/>
              </w:rPr>
              <w:t>The appellant’s approach effectively downplays the importance of the spatial strategy in favour of other considerations, in particular proximity to the settlement and a lack of visual harm to the countryside. However, to downgrade the weight to be afforded to the development plan conflict when it has not been shown to be out-of-date due to inconsistency with the Framework or because of a failure to meet its overall housing delivery aims would undermine the primacy of the plan-led system.</w:t>
            </w:r>
          </w:p>
          <w:p w14:paraId="6CACF62C" w14:textId="77777777" w:rsidR="00404D7E" w:rsidRPr="00D2727B" w:rsidRDefault="00404D7E" w:rsidP="008542DE">
            <w:pPr>
              <w:pStyle w:val="Header"/>
              <w:tabs>
                <w:tab w:val="clear" w:pos="4153"/>
                <w:tab w:val="clear" w:pos="8306"/>
              </w:tabs>
              <w:contextualSpacing/>
              <w:jc w:val="both"/>
              <w:rPr>
                <w:rFonts w:ascii="Calibri" w:hAnsi="Calibri"/>
                <w:bCs/>
                <w:i/>
                <w:iCs/>
                <w:szCs w:val="22"/>
              </w:rPr>
            </w:pPr>
          </w:p>
          <w:p w14:paraId="22FCDAF8" w14:textId="5622DB76" w:rsidR="00404D7E" w:rsidRPr="00D2727B" w:rsidRDefault="00404D7E" w:rsidP="00404D7E">
            <w:pPr>
              <w:pStyle w:val="Header"/>
              <w:contextualSpacing/>
              <w:jc w:val="both"/>
              <w:rPr>
                <w:rFonts w:ascii="Calibri" w:hAnsi="Calibri"/>
                <w:bCs/>
                <w:i/>
                <w:iCs/>
                <w:szCs w:val="22"/>
              </w:rPr>
            </w:pPr>
            <w:r w:rsidRPr="00D2727B">
              <w:rPr>
                <w:rFonts w:ascii="Calibri" w:hAnsi="Calibri"/>
                <w:bCs/>
                <w:i/>
                <w:iCs/>
                <w:szCs w:val="22"/>
              </w:rPr>
              <w:t>No evidence has been submitted within the application to demonstrate that the development is essential to the local economy or social well-being of the area, nor has there been evidence to demonstrate that the development is for local needs housing which meets an identified need. In addition, the proposed development would not be used in relation to agriculture and is not considered a small scale use appropriate to a rural area where a local need or benefit can be demonstrated. As such, the proposal fails to comply with the above criteria outlines in Policy DMG2</w:t>
            </w:r>
            <w:r w:rsidR="00E5169C" w:rsidRPr="00D2727B">
              <w:rPr>
                <w:rFonts w:ascii="Calibri" w:hAnsi="Calibri"/>
                <w:bCs/>
                <w:i/>
                <w:iCs/>
                <w:szCs w:val="22"/>
              </w:rPr>
              <w:t>’.</w:t>
            </w:r>
          </w:p>
          <w:p w14:paraId="436A5F29" w14:textId="77777777" w:rsidR="00E5169C" w:rsidRDefault="00E5169C" w:rsidP="00404D7E">
            <w:pPr>
              <w:pStyle w:val="Header"/>
              <w:contextualSpacing/>
              <w:jc w:val="both"/>
              <w:rPr>
                <w:rFonts w:ascii="Calibri" w:hAnsi="Calibri"/>
                <w:bCs/>
                <w:szCs w:val="22"/>
              </w:rPr>
            </w:pPr>
          </w:p>
          <w:p w14:paraId="57A7595F" w14:textId="6D0FA639" w:rsidR="006E75A3" w:rsidRDefault="006E75A3" w:rsidP="00404D7E">
            <w:pPr>
              <w:pStyle w:val="Header"/>
              <w:contextualSpacing/>
              <w:jc w:val="both"/>
              <w:rPr>
                <w:rFonts w:ascii="Calibri" w:hAnsi="Calibri"/>
                <w:bCs/>
                <w:szCs w:val="22"/>
              </w:rPr>
            </w:pPr>
            <w:r>
              <w:rPr>
                <w:rFonts w:ascii="Calibri" w:hAnsi="Calibri"/>
                <w:bCs/>
                <w:szCs w:val="22"/>
              </w:rPr>
              <w:t xml:space="preserve">Paragraph 6.9 of the applicants Planning Statement makes reference to Paragraph 84 of the NPPF which states that </w:t>
            </w:r>
            <w:r w:rsidRPr="00DE190C">
              <w:rPr>
                <w:rFonts w:ascii="Calibri" w:hAnsi="Calibri"/>
                <w:bCs/>
                <w:szCs w:val="22"/>
              </w:rPr>
              <w:t>‘Planning Policies and decision should recognise that sites to meet local business and community needs in rural areas may have to be found adjacent to or beyond existing settlements, and in locations that are not well served by public transport’.</w:t>
            </w:r>
            <w:r>
              <w:rPr>
                <w:rFonts w:ascii="Calibri" w:hAnsi="Calibri"/>
                <w:bCs/>
                <w:szCs w:val="22"/>
              </w:rPr>
              <w:t xml:space="preserve"> This paragraph is of little relevance to the application site as whilst the site is located within the Open Countryside designation, it is not a rural location and nonetheless the development is not considered to meet a local business or community need. </w:t>
            </w:r>
          </w:p>
          <w:p w14:paraId="4265A9CD" w14:textId="77777777" w:rsidR="006E75A3" w:rsidRDefault="006E75A3" w:rsidP="00404D7E">
            <w:pPr>
              <w:pStyle w:val="Header"/>
              <w:contextualSpacing/>
              <w:jc w:val="both"/>
              <w:rPr>
                <w:rFonts w:ascii="Calibri" w:hAnsi="Calibri"/>
                <w:bCs/>
                <w:szCs w:val="22"/>
              </w:rPr>
            </w:pPr>
          </w:p>
          <w:p w14:paraId="231E29E0" w14:textId="26F942BB" w:rsidR="00D8320B" w:rsidRDefault="00E5169C" w:rsidP="00D90748">
            <w:pPr>
              <w:overflowPunct/>
              <w:autoSpaceDE/>
              <w:autoSpaceDN/>
              <w:adjustRightInd/>
              <w:jc w:val="both"/>
              <w:textAlignment w:val="auto"/>
              <w:rPr>
                <w:rFonts w:ascii="Calibri" w:hAnsi="Calibri"/>
                <w:bCs/>
                <w:szCs w:val="22"/>
              </w:rPr>
            </w:pPr>
            <w:r w:rsidRPr="00D90748">
              <w:rPr>
                <w:rFonts w:ascii="Calibri" w:hAnsi="Calibri"/>
                <w:bCs/>
                <w:szCs w:val="22"/>
              </w:rPr>
              <w:t xml:space="preserve">Having regard to </w:t>
            </w:r>
            <w:r w:rsidR="006E75A3" w:rsidRPr="00D90748">
              <w:rPr>
                <w:rFonts w:ascii="Calibri" w:hAnsi="Calibri"/>
                <w:bCs/>
                <w:szCs w:val="22"/>
              </w:rPr>
              <w:t>the above considerations, including the noted</w:t>
            </w:r>
            <w:r w:rsidRPr="00D90748">
              <w:rPr>
                <w:rFonts w:ascii="Calibri" w:hAnsi="Calibri"/>
                <w:bCs/>
                <w:szCs w:val="22"/>
              </w:rPr>
              <w:t xml:space="preserve"> appeal decision, whilst the proposed site may be closely related to the settlement of Longridge, Criterion 1 </w:t>
            </w:r>
            <w:r w:rsidR="009C36E4">
              <w:rPr>
                <w:rFonts w:ascii="Calibri" w:hAnsi="Calibri"/>
                <w:bCs/>
                <w:szCs w:val="22"/>
              </w:rPr>
              <w:t xml:space="preserve">of Policy DMG2 </w:t>
            </w:r>
            <w:r w:rsidRPr="00D90748">
              <w:rPr>
                <w:rFonts w:ascii="Calibri" w:hAnsi="Calibri"/>
                <w:bCs/>
                <w:szCs w:val="22"/>
              </w:rPr>
              <w:t>is not of relevance to the application site as it is not located ‘in’ a settlement boundary</w:t>
            </w:r>
            <w:r w:rsidR="00D90748" w:rsidRPr="00D90748">
              <w:rPr>
                <w:rFonts w:ascii="Calibri" w:hAnsi="Calibri"/>
                <w:bCs/>
                <w:szCs w:val="22"/>
              </w:rPr>
              <w:t>. It is not considered that the proposed development would be essential to the local economy or social well-being of the area, nor would it constitute development which is needed for the purposes of forestry or agriculture. In addition, the proposal is not considered to be for a small-scale use appropriate to a rural area where a local need or benefit can be demonstrated and the development would not be for ‘local needs housing’</w:t>
            </w:r>
            <w:r w:rsidR="00D90748" w:rsidRPr="00DE190C">
              <w:rPr>
                <w:rFonts w:ascii="Calibri" w:hAnsi="Calibri"/>
                <w:bCs/>
                <w:szCs w:val="22"/>
              </w:rPr>
              <w:t xml:space="preserve"> as defined within the Ribble Valley Core Strategy which states that ‘Local needs housing is the housing developed to meet the needs of existing and concealed households living within the parish and surrounding parishes which is evidenced by the Housing Needs Survey for the parish, the Housing Waiting List and the Strategic Housing Market Assessment’.  As such, the proposal would fail to meet the requirements of </w:t>
            </w:r>
            <w:r>
              <w:rPr>
                <w:rFonts w:ascii="Calibri" w:hAnsi="Calibri"/>
                <w:bCs/>
                <w:szCs w:val="22"/>
              </w:rPr>
              <w:t>Criterion 2 of Policy DMG2 of the Ribble Valley Core Strategy</w:t>
            </w:r>
            <w:r w:rsidR="00D90748">
              <w:rPr>
                <w:rFonts w:ascii="Calibri" w:hAnsi="Calibri"/>
                <w:bCs/>
                <w:szCs w:val="22"/>
              </w:rPr>
              <w:t xml:space="preserve"> and would not align with the spatial strategy for the Borough.</w:t>
            </w:r>
          </w:p>
          <w:p w14:paraId="4C42E59A" w14:textId="77777777" w:rsidR="00D8320B" w:rsidRDefault="00D8320B" w:rsidP="00404D7E">
            <w:pPr>
              <w:pStyle w:val="Header"/>
              <w:contextualSpacing/>
              <w:jc w:val="both"/>
              <w:rPr>
                <w:rFonts w:ascii="Calibri" w:hAnsi="Calibri"/>
                <w:bCs/>
                <w:szCs w:val="22"/>
              </w:rPr>
            </w:pPr>
          </w:p>
          <w:p w14:paraId="2A6589A6" w14:textId="240AE023" w:rsidR="00D90748" w:rsidRPr="00D90748" w:rsidRDefault="000D6744" w:rsidP="00D90748">
            <w:pPr>
              <w:pStyle w:val="Header"/>
              <w:contextualSpacing/>
              <w:jc w:val="both"/>
              <w:rPr>
                <w:rFonts w:ascii="Calibri" w:hAnsi="Calibri"/>
                <w:bCs/>
                <w:szCs w:val="22"/>
              </w:rPr>
            </w:pPr>
            <w:r>
              <w:rPr>
                <w:rFonts w:ascii="Calibri" w:hAnsi="Calibri"/>
                <w:bCs/>
                <w:szCs w:val="22"/>
              </w:rPr>
              <w:t xml:space="preserve">In addition to the above, Policy DMG1 is also of relevance. Whilst the specific design of the dwelling would be dealt with at the ‘technical matters’ </w:t>
            </w:r>
            <w:r w:rsidRPr="00D90748">
              <w:rPr>
                <w:rFonts w:ascii="Calibri" w:hAnsi="Calibri"/>
                <w:bCs/>
                <w:szCs w:val="22"/>
              </w:rPr>
              <w:t>submission,</w:t>
            </w:r>
            <w:r w:rsidR="00D90748" w:rsidRPr="00D90748">
              <w:rPr>
                <w:rFonts w:ascii="Calibri" w:hAnsi="Calibri"/>
                <w:bCs/>
                <w:szCs w:val="22"/>
              </w:rPr>
              <w:t xml:space="preserve"> consideration must be given to the pattern of development that would be resultant from the proposal, including the spatial and visual relationship of the proposal to that of existing built form/settlement relationship.  </w:t>
            </w:r>
          </w:p>
          <w:p w14:paraId="565C2239" w14:textId="77777777" w:rsidR="00D15C6E" w:rsidRDefault="00D15C6E" w:rsidP="000D6744">
            <w:pPr>
              <w:pStyle w:val="Header"/>
              <w:tabs>
                <w:tab w:val="clear" w:pos="4153"/>
                <w:tab w:val="clear" w:pos="8306"/>
              </w:tabs>
              <w:contextualSpacing/>
              <w:jc w:val="both"/>
              <w:rPr>
                <w:rFonts w:ascii="Calibri" w:hAnsi="Calibri"/>
                <w:bCs/>
                <w:szCs w:val="22"/>
              </w:rPr>
            </w:pPr>
          </w:p>
          <w:p w14:paraId="16B59A3A" w14:textId="617165D2" w:rsidR="000D6744" w:rsidRDefault="000D6744" w:rsidP="000D6744">
            <w:pPr>
              <w:pStyle w:val="Header"/>
              <w:tabs>
                <w:tab w:val="clear" w:pos="4153"/>
                <w:tab w:val="clear" w:pos="8306"/>
              </w:tabs>
              <w:contextualSpacing/>
              <w:jc w:val="both"/>
              <w:rPr>
                <w:rFonts w:ascii="Calibri" w:hAnsi="Calibri"/>
                <w:bCs/>
                <w:szCs w:val="22"/>
              </w:rPr>
            </w:pPr>
            <w:r w:rsidRPr="00D90748">
              <w:rPr>
                <w:rFonts w:ascii="Calibri" w:hAnsi="Calibri"/>
                <w:bCs/>
                <w:szCs w:val="22"/>
              </w:rPr>
              <w:t>Policy DMG1 states:</w:t>
            </w:r>
          </w:p>
          <w:p w14:paraId="4FEA739E" w14:textId="77777777" w:rsidR="000D6744" w:rsidRDefault="000D6744" w:rsidP="000D6744">
            <w:pPr>
              <w:pStyle w:val="Header"/>
              <w:tabs>
                <w:tab w:val="clear" w:pos="4153"/>
                <w:tab w:val="clear" w:pos="8306"/>
              </w:tabs>
              <w:contextualSpacing/>
              <w:jc w:val="both"/>
              <w:rPr>
                <w:rFonts w:ascii="Calibri" w:hAnsi="Calibri"/>
                <w:bCs/>
                <w:szCs w:val="22"/>
              </w:rPr>
            </w:pPr>
          </w:p>
          <w:p w14:paraId="7062585A" w14:textId="77777777" w:rsidR="000D6744" w:rsidRPr="00DE190C" w:rsidRDefault="000D6744" w:rsidP="000D6744">
            <w:pPr>
              <w:pStyle w:val="Header"/>
              <w:contextualSpacing/>
              <w:jc w:val="both"/>
              <w:rPr>
                <w:rFonts w:ascii="Calibri" w:hAnsi="Calibri"/>
                <w:bCs/>
                <w:szCs w:val="22"/>
              </w:rPr>
            </w:pPr>
            <w:r w:rsidRPr="00DE190C">
              <w:rPr>
                <w:rFonts w:ascii="Calibri" w:hAnsi="Calibri"/>
                <w:bCs/>
                <w:szCs w:val="22"/>
              </w:rPr>
              <w:t>‘In determining planning applications, all development must:</w:t>
            </w:r>
          </w:p>
          <w:p w14:paraId="07E45A60" w14:textId="77777777" w:rsidR="000D6744" w:rsidRPr="00DE190C" w:rsidRDefault="000D6744" w:rsidP="000D6744">
            <w:pPr>
              <w:pStyle w:val="Header"/>
              <w:contextualSpacing/>
              <w:jc w:val="both"/>
              <w:rPr>
                <w:rFonts w:ascii="Calibri" w:hAnsi="Calibri"/>
                <w:bCs/>
                <w:szCs w:val="22"/>
              </w:rPr>
            </w:pPr>
          </w:p>
          <w:p w14:paraId="5E6BDB15" w14:textId="77777777" w:rsidR="000D6744" w:rsidRPr="00DE190C" w:rsidRDefault="000D6744" w:rsidP="000D6744">
            <w:pPr>
              <w:pStyle w:val="Header"/>
              <w:contextualSpacing/>
              <w:jc w:val="both"/>
              <w:rPr>
                <w:rFonts w:ascii="Calibri" w:hAnsi="Calibri"/>
                <w:bCs/>
                <w:szCs w:val="22"/>
              </w:rPr>
            </w:pPr>
            <w:r w:rsidRPr="00DE190C">
              <w:rPr>
                <w:rFonts w:ascii="Calibri" w:hAnsi="Calibri"/>
                <w:bCs/>
                <w:szCs w:val="22"/>
              </w:rPr>
              <w:t>1. be of a high standard of building design which considers the 8 building in context principles (from The Cabe/English Heritage building on context toolkit.</w:t>
            </w:r>
          </w:p>
          <w:p w14:paraId="6AC09609" w14:textId="77777777" w:rsidR="000D6744" w:rsidRPr="00DE190C" w:rsidRDefault="000D6744" w:rsidP="000D6744">
            <w:pPr>
              <w:pStyle w:val="Header"/>
              <w:contextualSpacing/>
              <w:jc w:val="both"/>
              <w:rPr>
                <w:rFonts w:ascii="Calibri" w:hAnsi="Calibri"/>
                <w:bCs/>
                <w:szCs w:val="22"/>
              </w:rPr>
            </w:pPr>
            <w:r w:rsidRPr="00DE190C">
              <w:rPr>
                <w:rFonts w:ascii="Calibri" w:hAnsi="Calibri"/>
                <w:bCs/>
                <w:szCs w:val="22"/>
              </w:rPr>
              <w:t>2. be sympathetic to existing and proposed land uses in terms of its size, intensity and nature as well as scale, massing, style, features and building materials.</w:t>
            </w:r>
          </w:p>
          <w:p w14:paraId="7D2E0E1C" w14:textId="5E064E4D" w:rsidR="000D6744" w:rsidRPr="00DE190C" w:rsidRDefault="000D6744" w:rsidP="00622B88">
            <w:pPr>
              <w:pStyle w:val="Header"/>
              <w:contextualSpacing/>
              <w:jc w:val="both"/>
              <w:rPr>
                <w:rFonts w:ascii="Calibri" w:hAnsi="Calibri"/>
                <w:bCs/>
                <w:szCs w:val="22"/>
              </w:rPr>
            </w:pPr>
            <w:r w:rsidRPr="00DE190C">
              <w:rPr>
                <w:rFonts w:ascii="Calibri" w:hAnsi="Calibri"/>
                <w:bCs/>
                <w:szCs w:val="22"/>
              </w:rPr>
              <w:t xml:space="preserve">3. consider the density, layout and relationship between buildings, which is of major importance. particular emphasis will be placed on visual appearance and the relationship to surroundings, including impact on landscape character, </w:t>
            </w:r>
            <w:r w:rsidR="00622B88" w:rsidRPr="00DE190C">
              <w:rPr>
                <w:rFonts w:ascii="Calibri" w:hAnsi="Calibri"/>
                <w:bCs/>
                <w:szCs w:val="22"/>
              </w:rPr>
              <w:t>as well as the effects of development on existing amenities.</w:t>
            </w:r>
          </w:p>
          <w:p w14:paraId="405CBA0D" w14:textId="77777777" w:rsidR="00622B88" w:rsidRPr="00DE190C" w:rsidRDefault="00622B88" w:rsidP="00622B88">
            <w:pPr>
              <w:pStyle w:val="Header"/>
              <w:contextualSpacing/>
              <w:jc w:val="both"/>
              <w:rPr>
                <w:rFonts w:ascii="Calibri" w:hAnsi="Calibri"/>
                <w:bCs/>
                <w:szCs w:val="22"/>
              </w:rPr>
            </w:pPr>
          </w:p>
          <w:p w14:paraId="6557F294" w14:textId="7ED92788" w:rsidR="00622B88" w:rsidRDefault="00622B88" w:rsidP="00622B88">
            <w:pPr>
              <w:pStyle w:val="Header"/>
              <w:contextualSpacing/>
              <w:jc w:val="both"/>
              <w:rPr>
                <w:rFonts w:ascii="Calibri" w:hAnsi="Calibri"/>
                <w:bCs/>
                <w:szCs w:val="22"/>
              </w:rPr>
            </w:pPr>
            <w:r>
              <w:rPr>
                <w:rFonts w:ascii="Calibri" w:hAnsi="Calibri"/>
                <w:bCs/>
                <w:szCs w:val="22"/>
              </w:rPr>
              <w:t>In addition, Policy DMG2 also states:</w:t>
            </w:r>
          </w:p>
          <w:p w14:paraId="6E2E8BD4" w14:textId="77777777" w:rsidR="00622B88" w:rsidRDefault="00622B88" w:rsidP="00622B88">
            <w:pPr>
              <w:pStyle w:val="Header"/>
              <w:contextualSpacing/>
              <w:jc w:val="both"/>
              <w:rPr>
                <w:rFonts w:ascii="Calibri" w:hAnsi="Calibri"/>
                <w:bCs/>
                <w:szCs w:val="22"/>
              </w:rPr>
            </w:pPr>
          </w:p>
          <w:p w14:paraId="33E3688A" w14:textId="20BF979C" w:rsidR="00622B88" w:rsidRPr="009C36E4" w:rsidRDefault="00622B88" w:rsidP="00622B88">
            <w:pPr>
              <w:pStyle w:val="Header"/>
              <w:contextualSpacing/>
              <w:jc w:val="both"/>
              <w:rPr>
                <w:rFonts w:ascii="Calibri" w:hAnsi="Calibri"/>
                <w:bCs/>
                <w:i/>
                <w:iCs/>
                <w:szCs w:val="22"/>
              </w:rPr>
            </w:pPr>
            <w:r w:rsidRPr="009C36E4">
              <w:rPr>
                <w:rFonts w:ascii="Calibri" w:hAnsi="Calibri"/>
                <w:bCs/>
                <w:i/>
                <w:iCs/>
                <w:szCs w:val="22"/>
              </w:rPr>
              <w:t xml:space="preserve">‘Within the open countryside development will be required to be in keeping with the character of the landscape and acknowledge the special qualities of the area by virtue of its size, design, use of materials, landscaping and siting. where possible new development should be accommodated through the re-use of existing buildings, which in most cases is more appropriate than new build’. </w:t>
            </w:r>
          </w:p>
          <w:p w14:paraId="411D20C7" w14:textId="77777777" w:rsidR="004B29AC" w:rsidRPr="00DE190C" w:rsidRDefault="004B29AC" w:rsidP="000D6744">
            <w:pPr>
              <w:pStyle w:val="Header"/>
              <w:contextualSpacing/>
              <w:jc w:val="both"/>
              <w:rPr>
                <w:rFonts w:ascii="Calibri" w:hAnsi="Calibri"/>
                <w:bCs/>
                <w:szCs w:val="22"/>
              </w:rPr>
            </w:pPr>
          </w:p>
          <w:p w14:paraId="7E89EB4E" w14:textId="77777777" w:rsidR="004B29AC" w:rsidRPr="00DE190C" w:rsidRDefault="004B29AC" w:rsidP="004B29AC">
            <w:pPr>
              <w:pStyle w:val="Header"/>
              <w:tabs>
                <w:tab w:val="clear" w:pos="4153"/>
                <w:tab w:val="clear" w:pos="8306"/>
              </w:tabs>
              <w:contextualSpacing/>
              <w:jc w:val="both"/>
              <w:rPr>
                <w:rFonts w:ascii="Calibri" w:hAnsi="Calibri"/>
                <w:bCs/>
                <w:szCs w:val="22"/>
              </w:rPr>
            </w:pPr>
            <w:r>
              <w:rPr>
                <w:rFonts w:ascii="Calibri" w:hAnsi="Calibri"/>
                <w:bCs/>
                <w:szCs w:val="22"/>
              </w:rPr>
              <w:t>With regards to the adopted Longridge Neighbourhood Development Plan, Policy LNDP3 states:</w:t>
            </w:r>
          </w:p>
          <w:p w14:paraId="0C15111D" w14:textId="77777777" w:rsidR="004B29AC" w:rsidRDefault="004B29AC" w:rsidP="004B29AC">
            <w:pPr>
              <w:pStyle w:val="Header"/>
              <w:tabs>
                <w:tab w:val="clear" w:pos="4153"/>
                <w:tab w:val="clear" w:pos="8306"/>
              </w:tabs>
              <w:contextualSpacing/>
              <w:jc w:val="both"/>
              <w:rPr>
                <w:rFonts w:ascii="Calibri" w:hAnsi="Calibri"/>
                <w:bCs/>
                <w:szCs w:val="22"/>
              </w:rPr>
            </w:pPr>
          </w:p>
          <w:p w14:paraId="1F3E5017" w14:textId="77777777" w:rsidR="004B29AC" w:rsidRPr="00DE190C" w:rsidRDefault="004B29AC" w:rsidP="004B29AC">
            <w:pPr>
              <w:pStyle w:val="Header"/>
              <w:tabs>
                <w:tab w:val="clear" w:pos="4153"/>
                <w:tab w:val="clear" w:pos="8306"/>
              </w:tabs>
              <w:contextualSpacing/>
              <w:jc w:val="both"/>
              <w:rPr>
                <w:rFonts w:ascii="Calibri" w:hAnsi="Calibri"/>
                <w:bCs/>
                <w:szCs w:val="22"/>
              </w:rPr>
            </w:pPr>
            <w:r w:rsidRPr="00DE190C">
              <w:rPr>
                <w:rFonts w:ascii="Calibri" w:hAnsi="Calibri"/>
                <w:bCs/>
                <w:szCs w:val="22"/>
              </w:rPr>
              <w:t>All new development proposals will only be supported when they are of good design that responds positively to the local character and distinctiveness of the surroundings. Proposals should: a) Conserve and enhance the locally distinctive built, historic and natural environment; b) Are designed to take account of site characteristics and surroundings.</w:t>
            </w:r>
          </w:p>
          <w:p w14:paraId="24EF9D68" w14:textId="6741D941" w:rsidR="00D8320B" w:rsidRPr="00DE190C" w:rsidRDefault="00D8320B" w:rsidP="00404D7E">
            <w:pPr>
              <w:pStyle w:val="Header"/>
              <w:contextualSpacing/>
              <w:jc w:val="both"/>
              <w:rPr>
                <w:rFonts w:ascii="Calibri" w:hAnsi="Calibri"/>
                <w:bCs/>
                <w:szCs w:val="22"/>
              </w:rPr>
            </w:pPr>
          </w:p>
          <w:p w14:paraId="6A955B58" w14:textId="05754B89" w:rsidR="00D8320B" w:rsidRPr="00DE190C" w:rsidRDefault="000D6744" w:rsidP="00404D7E">
            <w:pPr>
              <w:pStyle w:val="Header"/>
              <w:contextualSpacing/>
              <w:jc w:val="both"/>
              <w:rPr>
                <w:rFonts w:ascii="Calibri" w:hAnsi="Calibri"/>
                <w:bCs/>
                <w:szCs w:val="22"/>
              </w:rPr>
            </w:pPr>
            <w:r w:rsidRPr="00DE190C">
              <w:rPr>
                <w:rFonts w:ascii="Calibri" w:hAnsi="Calibri"/>
                <w:bCs/>
                <w:szCs w:val="22"/>
              </w:rPr>
              <w:t xml:space="preserve">The delegated report for the previously refused scheme made reference to the inspectors notes on the previous appeal at the site (appeal ref: </w:t>
            </w:r>
            <w:r w:rsidR="00D8320B" w:rsidRPr="00DE190C">
              <w:rPr>
                <w:rFonts w:ascii="Calibri" w:hAnsi="Calibri"/>
                <w:bCs/>
                <w:szCs w:val="22"/>
              </w:rPr>
              <w:t>APP/T2350/W/19/3235162</w:t>
            </w:r>
            <w:r w:rsidRPr="00DE190C">
              <w:rPr>
                <w:rFonts w:ascii="Calibri" w:hAnsi="Calibri"/>
                <w:bCs/>
                <w:szCs w:val="22"/>
              </w:rPr>
              <w:t xml:space="preserve"> where the inspector concluded that</w:t>
            </w:r>
            <w:r w:rsidR="00D8320B" w:rsidRPr="00DE190C">
              <w:rPr>
                <w:rFonts w:ascii="Calibri" w:hAnsi="Calibri"/>
                <w:bCs/>
                <w:szCs w:val="22"/>
              </w:rPr>
              <w:t xml:space="preserve"> </w:t>
            </w:r>
            <w:r w:rsidR="00D8320B" w:rsidRPr="009C36E4">
              <w:rPr>
                <w:rFonts w:ascii="Calibri" w:hAnsi="Calibri"/>
                <w:bCs/>
                <w:i/>
                <w:iCs/>
                <w:szCs w:val="22"/>
              </w:rPr>
              <w:t>‘it does not follow that as a result there would be a visual relationship or link between the settlement and the developed appeal site’</w:t>
            </w:r>
            <w:r w:rsidR="00D8320B" w:rsidRPr="00DE190C">
              <w:rPr>
                <w:rFonts w:ascii="Calibri" w:hAnsi="Calibri"/>
                <w:bCs/>
                <w:szCs w:val="22"/>
              </w:rPr>
              <w:t xml:space="preserve"> adding that </w:t>
            </w:r>
            <w:r w:rsidR="00D8320B" w:rsidRPr="009C36E4">
              <w:rPr>
                <w:rFonts w:ascii="Calibri" w:hAnsi="Calibri"/>
                <w:bCs/>
                <w:i/>
                <w:iCs/>
                <w:szCs w:val="22"/>
              </w:rPr>
              <w:t>‘the proposed houses, while often viewed in the context of the nearby built form of Longridge, would nonetheless be seen as a development that was separated from the established built form of the settlement’</w:t>
            </w:r>
            <w:r w:rsidR="00D8320B" w:rsidRPr="00DE190C">
              <w:rPr>
                <w:rFonts w:ascii="Calibri" w:hAnsi="Calibri"/>
                <w:bCs/>
                <w:szCs w:val="22"/>
              </w:rPr>
              <w:t xml:space="preserve">. As such the Inspector concluded that </w:t>
            </w:r>
            <w:r w:rsidR="00D8320B" w:rsidRPr="000111A9">
              <w:rPr>
                <w:rFonts w:ascii="Calibri" w:hAnsi="Calibri"/>
                <w:bCs/>
                <w:i/>
                <w:iCs/>
                <w:szCs w:val="22"/>
              </w:rPr>
              <w:t>‘I nonetheless find that the proposed development would harm the character and appearance of the area’ adding that ‘that the harm I have identified to the character and appearance of the area is contrary to Policies DMG1 and DMG2 of the CS that seeks, amongst other matters, that new development is in keeping with the character of the area and designed to be sympathetic to existing land uses’</w:t>
            </w:r>
            <w:r w:rsidR="00BA038F" w:rsidRPr="000111A9">
              <w:rPr>
                <w:rFonts w:ascii="Calibri" w:hAnsi="Calibri"/>
                <w:bCs/>
                <w:i/>
                <w:iCs/>
                <w:szCs w:val="22"/>
              </w:rPr>
              <w:t>.</w:t>
            </w:r>
            <w:r w:rsidR="00BA038F" w:rsidRPr="00DE190C">
              <w:rPr>
                <w:rFonts w:ascii="Calibri" w:hAnsi="Calibri"/>
                <w:bCs/>
                <w:szCs w:val="22"/>
              </w:rPr>
              <w:t xml:space="preserve"> </w:t>
            </w:r>
          </w:p>
          <w:p w14:paraId="3785A9FB" w14:textId="77777777" w:rsidR="000D6744" w:rsidRPr="00DE190C" w:rsidRDefault="000D6744" w:rsidP="00404D7E">
            <w:pPr>
              <w:pStyle w:val="Header"/>
              <w:contextualSpacing/>
              <w:jc w:val="both"/>
              <w:rPr>
                <w:rFonts w:ascii="Calibri" w:hAnsi="Calibri"/>
                <w:bCs/>
                <w:szCs w:val="22"/>
              </w:rPr>
            </w:pPr>
          </w:p>
          <w:p w14:paraId="1CA9C11B" w14:textId="790CC454" w:rsidR="00E5169C" w:rsidRPr="00DE190C" w:rsidRDefault="000D6744" w:rsidP="00404D7E">
            <w:pPr>
              <w:pStyle w:val="Header"/>
              <w:contextualSpacing/>
              <w:jc w:val="both"/>
              <w:rPr>
                <w:rFonts w:ascii="Calibri" w:hAnsi="Calibri"/>
                <w:bCs/>
                <w:szCs w:val="22"/>
              </w:rPr>
            </w:pPr>
            <w:r w:rsidRPr="00DE190C">
              <w:rPr>
                <w:rFonts w:ascii="Calibri" w:hAnsi="Calibri"/>
                <w:bCs/>
                <w:szCs w:val="22"/>
              </w:rPr>
              <w:t>There are key differences between the appeal scheme and this application</w:t>
            </w:r>
            <w:r w:rsidR="00BA038F" w:rsidRPr="00DE190C">
              <w:rPr>
                <w:rFonts w:ascii="Calibri" w:hAnsi="Calibri"/>
                <w:bCs/>
                <w:szCs w:val="22"/>
              </w:rPr>
              <w:t xml:space="preserve"> is that this application is for Permission in Principle and visual impact does not fall to be assessed. </w:t>
            </w:r>
            <w:r w:rsidRPr="00DE190C">
              <w:rPr>
                <w:rFonts w:ascii="Calibri" w:hAnsi="Calibri"/>
                <w:bCs/>
                <w:szCs w:val="22"/>
              </w:rPr>
              <w:t xml:space="preserve"> </w:t>
            </w:r>
            <w:r w:rsidR="00BA038F" w:rsidRPr="00DE190C">
              <w:rPr>
                <w:rFonts w:ascii="Calibri" w:hAnsi="Calibri"/>
                <w:bCs/>
                <w:szCs w:val="22"/>
              </w:rPr>
              <w:t xml:space="preserve">The submitted </w:t>
            </w:r>
            <w:r w:rsidR="00CA459B" w:rsidRPr="00DE190C">
              <w:rPr>
                <w:rFonts w:ascii="Calibri" w:hAnsi="Calibri"/>
                <w:bCs/>
                <w:szCs w:val="22"/>
              </w:rPr>
              <w:t>Planning Statement conclud</w:t>
            </w:r>
            <w:r w:rsidR="00BA038F" w:rsidRPr="00DE190C">
              <w:rPr>
                <w:rFonts w:ascii="Calibri" w:hAnsi="Calibri"/>
                <w:bCs/>
                <w:szCs w:val="22"/>
              </w:rPr>
              <w:t xml:space="preserve">es </w:t>
            </w:r>
            <w:r w:rsidR="00CA459B" w:rsidRPr="00DE190C">
              <w:rPr>
                <w:rFonts w:ascii="Calibri" w:hAnsi="Calibri"/>
                <w:bCs/>
                <w:szCs w:val="22"/>
              </w:rPr>
              <w:t>that ‘The application site is now more closely related to Longridge given it direct connection to the settlement boundary, with the more open land to the north left untouched by development.’</w:t>
            </w:r>
          </w:p>
          <w:p w14:paraId="520B4A8E" w14:textId="77777777" w:rsidR="00CA459B" w:rsidRPr="00DE190C" w:rsidRDefault="00CA459B" w:rsidP="00404D7E">
            <w:pPr>
              <w:pStyle w:val="Header"/>
              <w:contextualSpacing/>
              <w:jc w:val="both"/>
              <w:rPr>
                <w:rFonts w:ascii="Calibri" w:hAnsi="Calibri"/>
                <w:bCs/>
                <w:szCs w:val="22"/>
              </w:rPr>
            </w:pPr>
          </w:p>
          <w:p w14:paraId="0138381F" w14:textId="0BA2354F" w:rsidR="00CA459B" w:rsidRPr="00DE190C" w:rsidRDefault="00BE1145" w:rsidP="00404D7E">
            <w:pPr>
              <w:pStyle w:val="Header"/>
              <w:contextualSpacing/>
              <w:jc w:val="both"/>
              <w:rPr>
                <w:rFonts w:ascii="Calibri" w:hAnsi="Calibri"/>
                <w:bCs/>
                <w:szCs w:val="22"/>
              </w:rPr>
            </w:pPr>
            <w:r>
              <w:rPr>
                <w:rFonts w:ascii="Calibri" w:hAnsi="Calibri"/>
                <w:bCs/>
                <w:szCs w:val="22"/>
              </w:rPr>
              <w:t>Concerns have been raised from a neighbour that the proposal is not in keeping with pattern of development and would not constitute a natural completion of development. It is noted that there is a</w:t>
            </w:r>
            <w:r w:rsidR="00D2727B">
              <w:rPr>
                <w:rFonts w:ascii="Calibri" w:hAnsi="Calibri"/>
                <w:bCs/>
                <w:szCs w:val="22"/>
              </w:rPr>
              <w:t xml:space="preserve"> visual separation from the properties along Chaigley Road, however this application is for one dwelling only, on previously developed land. The development would not result in an encroachment into the countryside when compared to the refused schemes. </w:t>
            </w:r>
            <w:r w:rsidR="00DE190C" w:rsidRPr="00DE190C">
              <w:rPr>
                <w:rFonts w:ascii="Calibri" w:hAnsi="Calibri"/>
                <w:bCs/>
                <w:szCs w:val="22"/>
              </w:rPr>
              <w:t xml:space="preserve">As such, whilst residential development of a greater density has been previously considered to be visually separated from the settlement of Longridge and not in keeping with the pattern of development, this application for permission in principle for one residential dwelling would not result in the same level of harm due to the size, scale and density of development. </w:t>
            </w:r>
          </w:p>
          <w:p w14:paraId="56EED8B0" w14:textId="77777777" w:rsidR="00F24C96" w:rsidRDefault="00F24C96" w:rsidP="00BC2383">
            <w:pPr>
              <w:pStyle w:val="Header"/>
              <w:tabs>
                <w:tab w:val="clear" w:pos="4153"/>
                <w:tab w:val="clear" w:pos="8306"/>
              </w:tabs>
              <w:contextualSpacing/>
              <w:jc w:val="both"/>
              <w:rPr>
                <w:rFonts w:ascii="Calibri" w:hAnsi="Calibri"/>
                <w:bCs/>
                <w:szCs w:val="22"/>
              </w:rPr>
            </w:pPr>
          </w:p>
          <w:p w14:paraId="6FCC10FC" w14:textId="77777777" w:rsidR="00DE190C" w:rsidRPr="001A70D9" w:rsidRDefault="00DE190C" w:rsidP="00DE190C">
            <w:pPr>
              <w:pStyle w:val="Header"/>
              <w:rPr>
                <w:rFonts w:ascii="Calibri" w:hAnsi="Calibri"/>
                <w:bCs/>
                <w:szCs w:val="22"/>
                <w:u w:val="single"/>
              </w:rPr>
            </w:pPr>
            <w:r w:rsidRPr="001A70D9">
              <w:rPr>
                <w:rFonts w:ascii="Calibri" w:hAnsi="Calibri"/>
                <w:bCs/>
                <w:szCs w:val="22"/>
                <w:u w:val="single"/>
              </w:rPr>
              <w:t>Self-build</w:t>
            </w:r>
          </w:p>
          <w:p w14:paraId="02B47449" w14:textId="77777777" w:rsidR="00DE190C" w:rsidRPr="001A70D9" w:rsidRDefault="00DE190C" w:rsidP="00DE190C">
            <w:pPr>
              <w:pStyle w:val="Header"/>
              <w:rPr>
                <w:rFonts w:ascii="Calibri" w:hAnsi="Calibri"/>
                <w:bCs/>
                <w:szCs w:val="22"/>
                <w:u w:val="single"/>
              </w:rPr>
            </w:pPr>
          </w:p>
          <w:p w14:paraId="705B41CB" w14:textId="1EC037B7" w:rsidR="000A6DFE" w:rsidRDefault="00DE190C" w:rsidP="00DE190C">
            <w:pPr>
              <w:pStyle w:val="Header"/>
              <w:rPr>
                <w:rFonts w:ascii="Calibri" w:hAnsi="Calibri"/>
                <w:bCs/>
                <w:szCs w:val="22"/>
              </w:rPr>
            </w:pPr>
            <w:r w:rsidRPr="001A70D9">
              <w:rPr>
                <w:rFonts w:ascii="Calibri" w:hAnsi="Calibri"/>
                <w:bCs/>
                <w:szCs w:val="22"/>
              </w:rPr>
              <w:t>The proposal has been submitted as a self-build development</w:t>
            </w:r>
            <w:r>
              <w:rPr>
                <w:rFonts w:ascii="Calibri" w:hAnsi="Calibri"/>
                <w:bCs/>
                <w:szCs w:val="22"/>
              </w:rPr>
              <w:t xml:space="preserve"> and </w:t>
            </w:r>
            <w:r w:rsidR="00A66B5D" w:rsidRPr="003D6AF8">
              <w:rPr>
                <w:rFonts w:ascii="Calibri" w:hAnsi="Calibri"/>
                <w:bCs/>
                <w:szCs w:val="22"/>
              </w:rPr>
              <w:t>the applicant has signed a unilateral undertaking to secure the dwelling as a self-build dwelling.</w:t>
            </w:r>
            <w:r w:rsidRPr="003D6AF8">
              <w:rPr>
                <w:rFonts w:ascii="Calibri" w:hAnsi="Calibri"/>
                <w:bCs/>
                <w:szCs w:val="22"/>
              </w:rPr>
              <w:t xml:space="preserve"> </w:t>
            </w:r>
          </w:p>
          <w:p w14:paraId="7F00E0AD" w14:textId="77777777" w:rsidR="000A6DFE" w:rsidRDefault="000A6DFE" w:rsidP="00DE190C">
            <w:pPr>
              <w:pStyle w:val="Header"/>
              <w:rPr>
                <w:rFonts w:ascii="Calibri" w:hAnsi="Calibri"/>
                <w:bCs/>
                <w:szCs w:val="22"/>
              </w:rPr>
            </w:pPr>
          </w:p>
          <w:p w14:paraId="4BCAA071" w14:textId="518EF203" w:rsidR="000A6DFE" w:rsidRDefault="00DE190C" w:rsidP="00DE190C">
            <w:pPr>
              <w:pStyle w:val="Header"/>
              <w:rPr>
                <w:rFonts w:ascii="Calibri" w:hAnsi="Calibri"/>
                <w:bCs/>
                <w:szCs w:val="22"/>
              </w:rPr>
            </w:pPr>
            <w:r w:rsidRPr="001A70D9">
              <w:rPr>
                <w:rFonts w:ascii="Calibri" w:hAnsi="Calibri"/>
                <w:bCs/>
                <w:szCs w:val="22"/>
              </w:rPr>
              <w:t>With a shortfall of self-build housing within the Borough</w:t>
            </w:r>
            <w:r>
              <w:rPr>
                <w:rFonts w:ascii="Calibri" w:hAnsi="Calibri"/>
                <w:bCs/>
                <w:szCs w:val="22"/>
              </w:rPr>
              <w:t>,</w:t>
            </w:r>
            <w:r w:rsidRPr="001A70D9">
              <w:rPr>
                <w:rFonts w:ascii="Calibri" w:hAnsi="Calibri"/>
                <w:bCs/>
                <w:szCs w:val="22"/>
              </w:rPr>
              <w:t xml:space="preserve"> whilst the proposal only relates to the provision of one dwelling, some weight </w:t>
            </w:r>
            <w:r w:rsidR="00A66B5D">
              <w:rPr>
                <w:rFonts w:ascii="Calibri" w:hAnsi="Calibri"/>
                <w:bCs/>
                <w:szCs w:val="22"/>
              </w:rPr>
              <w:t>is</w:t>
            </w:r>
            <w:r w:rsidRPr="001A70D9">
              <w:rPr>
                <w:rFonts w:ascii="Calibri" w:hAnsi="Calibri"/>
                <w:bCs/>
                <w:szCs w:val="22"/>
              </w:rPr>
              <w:t xml:space="preserve"> nonetheless given to the fact that this would be a self-build dwelling</w:t>
            </w:r>
            <w:r w:rsidR="000A6DFE">
              <w:rPr>
                <w:rFonts w:ascii="Calibri" w:hAnsi="Calibri"/>
                <w:bCs/>
                <w:szCs w:val="22"/>
              </w:rPr>
              <w:t xml:space="preserve">. </w:t>
            </w:r>
            <w:r w:rsidRPr="001A70D9">
              <w:rPr>
                <w:rFonts w:ascii="Calibri" w:hAnsi="Calibri"/>
                <w:bCs/>
                <w:szCs w:val="22"/>
              </w:rPr>
              <w:t xml:space="preserve">The </w:t>
            </w:r>
            <w:r w:rsidRPr="001A70D9">
              <w:rPr>
                <w:rFonts w:ascii="Calibri" w:hAnsi="Calibri"/>
                <w:bCs/>
                <w:szCs w:val="22"/>
              </w:rPr>
              <w:lastRenderedPageBreak/>
              <w:t>Council has given regard to the provision of a self-build unit as a material consideration</w:t>
            </w:r>
            <w:r w:rsidR="000A6DFE">
              <w:rPr>
                <w:rFonts w:ascii="Calibri" w:hAnsi="Calibri"/>
                <w:bCs/>
                <w:szCs w:val="22"/>
              </w:rPr>
              <w:t xml:space="preserve">. In addition to this, of relevance to this application is a recent appeal (appeal ref: </w:t>
            </w:r>
            <w:r w:rsidR="000A6DFE" w:rsidRPr="000A6DFE">
              <w:rPr>
                <w:rFonts w:ascii="Calibri" w:hAnsi="Calibri"/>
                <w:bCs/>
                <w:szCs w:val="22"/>
              </w:rPr>
              <w:t>APP/T2350/W/23/3335737</w:t>
            </w:r>
            <w:r w:rsidR="000A6DFE">
              <w:rPr>
                <w:rFonts w:ascii="Calibri" w:hAnsi="Calibri"/>
                <w:bCs/>
                <w:szCs w:val="22"/>
              </w:rPr>
              <w:t xml:space="preserve">) where an appeal was allowed for outline planning permission for one self-build dwelling in April 2024. Similarly, the site was located outside of </w:t>
            </w:r>
            <w:r w:rsidR="00662024">
              <w:rPr>
                <w:rFonts w:ascii="Calibri" w:hAnsi="Calibri"/>
                <w:bCs/>
                <w:szCs w:val="22"/>
              </w:rPr>
              <w:t>a Tier 1</w:t>
            </w:r>
            <w:r w:rsidR="000A6DFE">
              <w:rPr>
                <w:rFonts w:ascii="Calibri" w:hAnsi="Calibri"/>
                <w:bCs/>
                <w:szCs w:val="22"/>
              </w:rPr>
              <w:t xml:space="preserve"> settlement boundary in conflict with the development strategy, however the inspector noted the following:</w:t>
            </w:r>
          </w:p>
          <w:p w14:paraId="5E0A406B" w14:textId="77777777" w:rsidR="000A6DFE" w:rsidRDefault="000A6DFE" w:rsidP="00DE190C">
            <w:pPr>
              <w:pStyle w:val="Header"/>
              <w:rPr>
                <w:rFonts w:ascii="Calibri" w:hAnsi="Calibri"/>
                <w:bCs/>
                <w:szCs w:val="22"/>
              </w:rPr>
            </w:pPr>
          </w:p>
          <w:p w14:paraId="17F8A064" w14:textId="77777777" w:rsidR="000A6DFE" w:rsidRPr="000A6DFE" w:rsidRDefault="000A6DFE" w:rsidP="00DE190C">
            <w:pPr>
              <w:pStyle w:val="Header"/>
              <w:rPr>
                <w:rFonts w:ascii="Calibri" w:hAnsi="Calibri"/>
                <w:bCs/>
                <w:i/>
                <w:iCs/>
                <w:szCs w:val="22"/>
              </w:rPr>
            </w:pPr>
            <w:r w:rsidRPr="000A6DFE">
              <w:rPr>
                <w:rFonts w:ascii="Calibri" w:hAnsi="Calibri"/>
                <w:bCs/>
                <w:i/>
                <w:iCs/>
                <w:szCs w:val="22"/>
              </w:rPr>
              <w:t xml:space="preserve">“Although located just outside the settlement boundary, the appeal site lies within easy walking distance of the primary school, village hall, church, public house and bus stops in both directions. The latter are served by an hourly service to Preston and Blackburn 6 days a week from around 7am to 8pm. There is also a two hourly service on a Sunday from approximately 8.30am to 6.30pm. Thus, future occupiers would not be solely reliant on the private car for all their day-to-day needs”. </w:t>
            </w:r>
          </w:p>
          <w:p w14:paraId="54893578" w14:textId="77777777" w:rsidR="000A6DFE" w:rsidRDefault="000A6DFE" w:rsidP="00DE190C">
            <w:pPr>
              <w:pStyle w:val="Header"/>
              <w:rPr>
                <w:rFonts w:ascii="Calibri" w:hAnsi="Calibri"/>
                <w:bCs/>
                <w:szCs w:val="22"/>
              </w:rPr>
            </w:pPr>
          </w:p>
          <w:p w14:paraId="3B6B39AA" w14:textId="77777777" w:rsidR="000A6DFE" w:rsidRDefault="000A6DFE" w:rsidP="00DE190C">
            <w:pPr>
              <w:pStyle w:val="Header"/>
              <w:rPr>
                <w:rFonts w:ascii="Calibri" w:hAnsi="Calibri"/>
                <w:bCs/>
                <w:szCs w:val="22"/>
              </w:rPr>
            </w:pPr>
            <w:r>
              <w:rPr>
                <w:rFonts w:ascii="Calibri" w:hAnsi="Calibri"/>
                <w:bCs/>
                <w:szCs w:val="22"/>
              </w:rPr>
              <w:t>The inspector then concluded that:</w:t>
            </w:r>
          </w:p>
          <w:p w14:paraId="0150141E" w14:textId="77777777" w:rsidR="000A6DFE" w:rsidRDefault="000A6DFE" w:rsidP="00DE190C">
            <w:pPr>
              <w:pStyle w:val="Header"/>
              <w:rPr>
                <w:rFonts w:ascii="Calibri" w:hAnsi="Calibri"/>
                <w:bCs/>
                <w:szCs w:val="22"/>
              </w:rPr>
            </w:pPr>
          </w:p>
          <w:p w14:paraId="0992A0A2" w14:textId="77777777" w:rsidR="000A6DFE" w:rsidRDefault="000A6DFE" w:rsidP="00DE190C">
            <w:pPr>
              <w:pStyle w:val="Header"/>
              <w:rPr>
                <w:rFonts w:ascii="Calibri" w:hAnsi="Calibri"/>
                <w:bCs/>
                <w:i/>
                <w:iCs/>
                <w:szCs w:val="22"/>
              </w:rPr>
            </w:pPr>
            <w:r w:rsidRPr="000A6DFE">
              <w:rPr>
                <w:rFonts w:ascii="Calibri" w:hAnsi="Calibri"/>
                <w:bCs/>
                <w:i/>
                <w:iCs/>
                <w:szCs w:val="22"/>
              </w:rPr>
              <w:t>“The proposal would be contrary to the development strategy of the CS and would conflict with CS Policies DMG2 and DMH3. However, the proposal would be a self-build dwelling. Given the likely level of unmet demand for such housing in the borough this is a material consideration to which I give substantial weight. Moreover, although outside the settlement boundary the appeal site is within walking distance of a range of services and facilities meaning that future occupiers would not be totally dependent on the private car to meet all their day-to-day needs. The proposal would also not unacceptably harm the character of the landscape or the area. I consider that, in this instance, these material considerations outweigh the conflict with the development plan”.</w:t>
            </w:r>
          </w:p>
          <w:p w14:paraId="4BC4165B" w14:textId="77777777" w:rsidR="000A6DFE" w:rsidRDefault="000A6DFE" w:rsidP="00DE190C">
            <w:pPr>
              <w:pStyle w:val="Header"/>
              <w:rPr>
                <w:rFonts w:ascii="Calibri" w:hAnsi="Calibri"/>
                <w:bCs/>
                <w:i/>
                <w:iCs/>
                <w:szCs w:val="22"/>
              </w:rPr>
            </w:pPr>
          </w:p>
          <w:p w14:paraId="0E60D01C" w14:textId="06CE25F5" w:rsidR="000A6DFE" w:rsidRDefault="000A6DFE" w:rsidP="00DE190C">
            <w:pPr>
              <w:pStyle w:val="Header"/>
              <w:rPr>
                <w:rFonts w:ascii="Calibri" w:hAnsi="Calibri"/>
                <w:bCs/>
                <w:szCs w:val="22"/>
              </w:rPr>
            </w:pPr>
            <w:r>
              <w:rPr>
                <w:rFonts w:ascii="Calibri" w:hAnsi="Calibri"/>
                <w:bCs/>
                <w:szCs w:val="22"/>
              </w:rPr>
              <w:t xml:space="preserve">The site is sustainably located, within walking distance to key services and facilities within the town centre and to primary and secondary schools. </w:t>
            </w:r>
          </w:p>
          <w:p w14:paraId="73688CF8" w14:textId="77777777" w:rsidR="000A6DFE" w:rsidRDefault="000A6DFE" w:rsidP="00DE190C">
            <w:pPr>
              <w:pStyle w:val="Header"/>
              <w:rPr>
                <w:rFonts w:ascii="Calibri" w:hAnsi="Calibri"/>
                <w:bCs/>
                <w:szCs w:val="22"/>
              </w:rPr>
            </w:pPr>
          </w:p>
          <w:p w14:paraId="2CA0DE92" w14:textId="5A1D7F39" w:rsidR="000A6DFE" w:rsidRPr="000A6DFE" w:rsidRDefault="000A6DFE" w:rsidP="00DE190C">
            <w:pPr>
              <w:pStyle w:val="Header"/>
              <w:rPr>
                <w:rFonts w:ascii="Calibri" w:hAnsi="Calibri"/>
                <w:bCs/>
                <w:szCs w:val="22"/>
              </w:rPr>
            </w:pPr>
            <w:r>
              <w:rPr>
                <w:rFonts w:ascii="Calibri" w:hAnsi="Calibri"/>
                <w:bCs/>
                <w:szCs w:val="22"/>
              </w:rPr>
              <w:t xml:space="preserve">As such, taking into account the above appeal decision and that the site is sustainably located, compliant with Key Statement </w:t>
            </w:r>
            <w:r w:rsidRPr="003D6AF8">
              <w:rPr>
                <w:rFonts w:ascii="Calibri" w:hAnsi="Calibri"/>
                <w:bCs/>
                <w:szCs w:val="22"/>
              </w:rPr>
              <w:t xml:space="preserve">DMI2 of the Ribble Valley Core Strategy, the provision of a self-build dwelling against the Council’s shortfall </w:t>
            </w:r>
            <w:r w:rsidR="004C19B9" w:rsidRPr="003D6AF8">
              <w:rPr>
                <w:rFonts w:ascii="Calibri" w:hAnsi="Calibri"/>
                <w:bCs/>
                <w:szCs w:val="22"/>
              </w:rPr>
              <w:t xml:space="preserve">of self-build housing within the Borough is considered to </w:t>
            </w:r>
            <w:r w:rsidR="000111A9">
              <w:rPr>
                <w:rFonts w:ascii="Calibri" w:hAnsi="Calibri"/>
                <w:bCs/>
                <w:szCs w:val="22"/>
              </w:rPr>
              <w:t xml:space="preserve">be given </w:t>
            </w:r>
            <w:r w:rsidR="00662024">
              <w:rPr>
                <w:rFonts w:ascii="Calibri" w:hAnsi="Calibri"/>
                <w:bCs/>
                <w:szCs w:val="22"/>
              </w:rPr>
              <w:t>moderate</w:t>
            </w:r>
            <w:r w:rsidR="000111A9">
              <w:rPr>
                <w:rFonts w:ascii="Calibri" w:hAnsi="Calibri"/>
                <w:bCs/>
                <w:szCs w:val="22"/>
              </w:rPr>
              <w:t xml:space="preserve"> </w:t>
            </w:r>
            <w:r w:rsidR="00A66B5D" w:rsidRPr="003D6AF8">
              <w:rPr>
                <w:rFonts w:ascii="Calibri" w:hAnsi="Calibri"/>
                <w:bCs/>
                <w:szCs w:val="22"/>
              </w:rPr>
              <w:t xml:space="preserve">weight. </w:t>
            </w:r>
            <w:r w:rsidR="000111A9">
              <w:rPr>
                <w:rFonts w:ascii="Calibri" w:hAnsi="Calibri"/>
                <w:bCs/>
                <w:szCs w:val="22"/>
              </w:rPr>
              <w:t>Whilst t</w:t>
            </w:r>
            <w:r w:rsidR="00A66B5D" w:rsidRPr="003D6AF8">
              <w:rPr>
                <w:rFonts w:ascii="Calibri" w:hAnsi="Calibri"/>
                <w:bCs/>
                <w:szCs w:val="22"/>
              </w:rPr>
              <w:t>he Council have confirmed that the applicant is not on the Council’s Self-Build Register</w:t>
            </w:r>
            <w:r w:rsidR="000111A9">
              <w:rPr>
                <w:rFonts w:ascii="Calibri" w:hAnsi="Calibri"/>
                <w:bCs/>
                <w:szCs w:val="22"/>
              </w:rPr>
              <w:t xml:space="preserve">, </w:t>
            </w:r>
            <w:r w:rsidR="00A66B5D" w:rsidRPr="003D6AF8">
              <w:rPr>
                <w:rFonts w:ascii="Calibri" w:hAnsi="Calibri"/>
                <w:bCs/>
                <w:szCs w:val="22"/>
              </w:rPr>
              <w:t>the applicant has entered into a legal agreement to secure the dwelling as such</w:t>
            </w:r>
            <w:r w:rsidR="000111A9">
              <w:rPr>
                <w:rFonts w:ascii="Calibri" w:hAnsi="Calibri"/>
                <w:bCs/>
                <w:szCs w:val="22"/>
              </w:rPr>
              <w:t xml:space="preserve"> and as such, this is still considered to be given </w:t>
            </w:r>
            <w:r w:rsidR="00662024">
              <w:rPr>
                <w:rFonts w:ascii="Calibri" w:hAnsi="Calibri"/>
                <w:bCs/>
                <w:szCs w:val="22"/>
              </w:rPr>
              <w:t>moderate</w:t>
            </w:r>
            <w:r w:rsidR="000111A9">
              <w:rPr>
                <w:rFonts w:ascii="Calibri" w:hAnsi="Calibri"/>
                <w:bCs/>
                <w:szCs w:val="22"/>
              </w:rPr>
              <w:t xml:space="preserve"> weight in the determination of the application. </w:t>
            </w:r>
          </w:p>
          <w:p w14:paraId="07A958AF" w14:textId="114C9467" w:rsidR="00BA038F" w:rsidRPr="00F24C96" w:rsidRDefault="00BA038F" w:rsidP="004C19B9">
            <w:pPr>
              <w:pStyle w:val="Header"/>
              <w:rPr>
                <w:rFonts w:ascii="Calibri" w:hAnsi="Calibri"/>
                <w:bCs/>
                <w:szCs w:val="22"/>
              </w:rPr>
            </w:pPr>
          </w:p>
        </w:tc>
      </w:tr>
      <w:tr w:rsidR="00C0704D" w:rsidRPr="00D2449B" w14:paraId="617768FF"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3E7AAC3" w14:textId="68FE0242" w:rsidR="00FA2196" w:rsidRDefault="00FA2196" w:rsidP="00C159CF">
            <w:pPr>
              <w:pStyle w:val="Header"/>
              <w:tabs>
                <w:tab w:val="clear" w:pos="4153"/>
                <w:tab w:val="clear" w:pos="8306"/>
              </w:tabs>
              <w:contextualSpacing/>
              <w:jc w:val="both"/>
              <w:rPr>
                <w:rFonts w:ascii="Calibri" w:hAnsi="Calibri"/>
                <w:bCs/>
                <w:szCs w:val="22"/>
              </w:rPr>
            </w:pPr>
            <w:r>
              <w:rPr>
                <w:rFonts w:ascii="Calibri" w:hAnsi="Calibri"/>
                <w:bCs/>
                <w:szCs w:val="22"/>
              </w:rPr>
              <w:t xml:space="preserve">This application relates solely to principle of development and whether the proposal would align with the spatial and locational strategy of the borough. </w:t>
            </w:r>
          </w:p>
          <w:p w14:paraId="23B45BCA" w14:textId="77777777" w:rsidR="00FA2196" w:rsidRDefault="00FA2196" w:rsidP="00C159CF">
            <w:pPr>
              <w:pStyle w:val="Header"/>
              <w:tabs>
                <w:tab w:val="clear" w:pos="4153"/>
                <w:tab w:val="clear" w:pos="8306"/>
              </w:tabs>
              <w:contextualSpacing/>
              <w:jc w:val="both"/>
              <w:rPr>
                <w:rFonts w:ascii="Calibri" w:hAnsi="Calibri"/>
                <w:bCs/>
                <w:szCs w:val="22"/>
              </w:rPr>
            </w:pPr>
          </w:p>
          <w:p w14:paraId="703333AE" w14:textId="24069682" w:rsidR="00C159CF" w:rsidRPr="00C159CF" w:rsidRDefault="00FA2196" w:rsidP="00C159CF">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the impact upon the amenity of </w:t>
            </w:r>
            <w:r w:rsidR="00430125">
              <w:rPr>
                <w:rFonts w:ascii="Calibri" w:hAnsi="Calibri"/>
                <w:bCs/>
                <w:szCs w:val="22"/>
              </w:rPr>
              <w:t>the occupiers of</w:t>
            </w:r>
            <w:r>
              <w:rPr>
                <w:rFonts w:ascii="Calibri" w:hAnsi="Calibri"/>
                <w:bCs/>
                <w:szCs w:val="22"/>
              </w:rPr>
              <w:t xml:space="preserve"> surrounding </w:t>
            </w:r>
            <w:r w:rsidR="00430125">
              <w:rPr>
                <w:rFonts w:ascii="Calibri" w:hAnsi="Calibri"/>
                <w:bCs/>
                <w:szCs w:val="22"/>
              </w:rPr>
              <w:t xml:space="preserve">residential properties does not fall to be assessed within the scope of this application </w:t>
            </w:r>
            <w:r w:rsidR="00C159CF" w:rsidRPr="00C159CF">
              <w:rPr>
                <w:rFonts w:ascii="Calibri" w:hAnsi="Calibri"/>
                <w:bCs/>
                <w:szCs w:val="22"/>
              </w:rPr>
              <w:t>and w</w:t>
            </w:r>
            <w:r w:rsidR="00430125">
              <w:rPr>
                <w:rFonts w:ascii="Calibri" w:hAnsi="Calibri"/>
                <w:bCs/>
                <w:szCs w:val="22"/>
              </w:rPr>
              <w:t>ould</w:t>
            </w:r>
            <w:r w:rsidR="00C159CF" w:rsidRPr="00C159CF">
              <w:rPr>
                <w:rFonts w:ascii="Calibri" w:hAnsi="Calibri"/>
                <w:bCs/>
                <w:szCs w:val="22"/>
              </w:rPr>
              <w:t xml:space="preserve"> be reserved for consideration/assessment </w:t>
            </w:r>
            <w:r w:rsidR="00430125">
              <w:rPr>
                <w:rFonts w:ascii="Calibri" w:hAnsi="Calibri"/>
                <w:bCs/>
                <w:szCs w:val="22"/>
              </w:rPr>
              <w:t>following the submission of</w:t>
            </w:r>
            <w:r w:rsidR="00C159CF" w:rsidRPr="00C159CF">
              <w:rPr>
                <w:rFonts w:ascii="Calibri" w:hAnsi="Calibri"/>
                <w:bCs/>
                <w:szCs w:val="22"/>
              </w:rPr>
              <w:t xml:space="preserve"> ‘Technical Matters’</w:t>
            </w:r>
            <w:r w:rsidR="00430125">
              <w:rPr>
                <w:rFonts w:ascii="Calibri" w:hAnsi="Calibri"/>
                <w:bCs/>
                <w:szCs w:val="22"/>
              </w:rPr>
              <w:t xml:space="preserve">. </w:t>
            </w:r>
          </w:p>
          <w:p w14:paraId="0DB485A3" w14:textId="77529C0F" w:rsidR="00ED00B7" w:rsidRPr="00C0704D" w:rsidRDefault="00ED00B7" w:rsidP="00C0704D">
            <w:pPr>
              <w:contextualSpacing/>
              <w:rPr>
                <w:rFonts w:ascii="Calibri" w:hAnsi="Calibri"/>
                <w:szCs w:val="22"/>
              </w:rPr>
            </w:pPr>
          </w:p>
        </w:tc>
      </w:tr>
      <w:tr w:rsidR="00C0704D" w:rsidRPr="00D2449B" w14:paraId="6754C065"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3C69104" w14:textId="77777777" w:rsidR="00430125" w:rsidRDefault="00430125" w:rsidP="00430125">
            <w:pPr>
              <w:pStyle w:val="Header"/>
              <w:tabs>
                <w:tab w:val="clear" w:pos="4153"/>
                <w:tab w:val="clear" w:pos="8306"/>
              </w:tabs>
              <w:contextualSpacing/>
              <w:jc w:val="both"/>
              <w:rPr>
                <w:rFonts w:ascii="Calibri" w:hAnsi="Calibri"/>
                <w:bCs/>
                <w:szCs w:val="22"/>
              </w:rPr>
            </w:pPr>
            <w:r>
              <w:rPr>
                <w:rFonts w:ascii="Calibri" w:hAnsi="Calibri"/>
                <w:bCs/>
                <w:szCs w:val="22"/>
              </w:rPr>
              <w:t xml:space="preserve">This application relates solely to principle of development and whether the proposal would align with the spatial and locational strategy of the borough. </w:t>
            </w:r>
          </w:p>
          <w:p w14:paraId="23B64A8E" w14:textId="77777777" w:rsidR="00430125" w:rsidRDefault="00430125" w:rsidP="00430125">
            <w:pPr>
              <w:pStyle w:val="Header"/>
              <w:tabs>
                <w:tab w:val="clear" w:pos="4153"/>
                <w:tab w:val="clear" w:pos="8306"/>
              </w:tabs>
              <w:contextualSpacing/>
              <w:jc w:val="both"/>
              <w:rPr>
                <w:rFonts w:ascii="Calibri" w:hAnsi="Calibri"/>
                <w:bCs/>
                <w:szCs w:val="22"/>
              </w:rPr>
            </w:pPr>
          </w:p>
          <w:p w14:paraId="2356E60E" w14:textId="55A14E7D" w:rsidR="00430125" w:rsidRPr="00C159CF" w:rsidRDefault="00430125" w:rsidP="00430125">
            <w:pPr>
              <w:pStyle w:val="Header"/>
              <w:tabs>
                <w:tab w:val="clear" w:pos="4153"/>
                <w:tab w:val="clear" w:pos="8306"/>
              </w:tabs>
              <w:contextualSpacing/>
              <w:jc w:val="both"/>
              <w:rPr>
                <w:rFonts w:ascii="Calibri" w:hAnsi="Calibri"/>
                <w:bCs/>
                <w:szCs w:val="22"/>
              </w:rPr>
            </w:pPr>
            <w:r>
              <w:rPr>
                <w:rFonts w:ascii="Calibri" w:hAnsi="Calibri"/>
                <w:bCs/>
                <w:szCs w:val="22"/>
              </w:rPr>
              <w:t>As such,</w:t>
            </w:r>
            <w:r w:rsidRPr="00C159CF">
              <w:rPr>
                <w:rFonts w:ascii="Calibri" w:hAnsi="Calibri"/>
                <w:bCs/>
                <w:szCs w:val="22"/>
              </w:rPr>
              <w:t xml:space="preserve"> matters relating to the potential for adverse impact(s) upon </w:t>
            </w:r>
            <w:r>
              <w:rPr>
                <w:rFonts w:ascii="Calibri" w:hAnsi="Calibri"/>
                <w:bCs/>
                <w:szCs w:val="22"/>
              </w:rPr>
              <w:t>the character or visual amenities of the area</w:t>
            </w:r>
            <w:r w:rsidRPr="00C159CF">
              <w:rPr>
                <w:rFonts w:ascii="Calibri" w:hAnsi="Calibri"/>
                <w:bCs/>
                <w:szCs w:val="22"/>
              </w:rPr>
              <w:t xml:space="preserve"> resultant from the development</w:t>
            </w:r>
            <w:r>
              <w:rPr>
                <w:rFonts w:ascii="Calibri" w:hAnsi="Calibri"/>
                <w:bCs/>
                <w:szCs w:val="22"/>
              </w:rPr>
              <w:t xml:space="preserve"> do not fall to be assessed within the scope of this application </w:t>
            </w:r>
            <w:r w:rsidRPr="00C159CF">
              <w:rPr>
                <w:rFonts w:ascii="Calibri" w:hAnsi="Calibri"/>
                <w:bCs/>
                <w:szCs w:val="22"/>
              </w:rPr>
              <w:t>and w</w:t>
            </w:r>
            <w:r>
              <w:rPr>
                <w:rFonts w:ascii="Calibri" w:hAnsi="Calibri"/>
                <w:bCs/>
                <w:szCs w:val="22"/>
              </w:rPr>
              <w:t>ould</w:t>
            </w:r>
            <w:r w:rsidRPr="00C159CF">
              <w:rPr>
                <w:rFonts w:ascii="Calibri" w:hAnsi="Calibri"/>
                <w:bCs/>
                <w:szCs w:val="22"/>
              </w:rPr>
              <w:t xml:space="preserve"> be reserved for consideration/assessment </w:t>
            </w:r>
            <w:r>
              <w:rPr>
                <w:rFonts w:ascii="Calibri" w:hAnsi="Calibri"/>
                <w:bCs/>
                <w:szCs w:val="22"/>
              </w:rPr>
              <w:t>following the submission of</w:t>
            </w:r>
            <w:r w:rsidRPr="00C159CF">
              <w:rPr>
                <w:rFonts w:ascii="Calibri" w:hAnsi="Calibri"/>
                <w:bCs/>
                <w:szCs w:val="22"/>
              </w:rPr>
              <w:t xml:space="preserve"> ‘Technical Matters’</w:t>
            </w:r>
            <w:r>
              <w:rPr>
                <w:rFonts w:ascii="Calibri" w:hAnsi="Calibri"/>
                <w:bCs/>
                <w:szCs w:val="22"/>
              </w:rPr>
              <w:t xml:space="preserve">. </w:t>
            </w:r>
          </w:p>
          <w:p w14:paraId="10A3648A" w14:textId="77777777" w:rsidR="00C0704D" w:rsidRDefault="00C0704D" w:rsidP="00430125">
            <w:pPr>
              <w:pStyle w:val="Header"/>
              <w:tabs>
                <w:tab w:val="clear" w:pos="4153"/>
                <w:tab w:val="clear" w:pos="8306"/>
              </w:tabs>
              <w:contextualSpacing/>
              <w:jc w:val="both"/>
              <w:rPr>
                <w:rFonts w:ascii="Calibri" w:hAnsi="Calibri"/>
                <w:b/>
                <w:szCs w:val="22"/>
              </w:rPr>
            </w:pPr>
          </w:p>
        </w:tc>
      </w:tr>
      <w:tr w:rsidR="00824DB6" w:rsidRPr="00D2449B" w14:paraId="673C0DDB"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2190B8F8" w14:textId="77777777" w:rsidR="00351D4E" w:rsidRDefault="00351D4E" w:rsidP="009D0B6D">
            <w:pPr>
              <w:pStyle w:val="Header"/>
              <w:tabs>
                <w:tab w:val="clear" w:pos="4153"/>
                <w:tab w:val="clear" w:pos="8306"/>
              </w:tabs>
              <w:contextualSpacing/>
              <w:jc w:val="both"/>
              <w:rPr>
                <w:rFonts w:ascii="Calibri" w:hAnsi="Calibri"/>
                <w:bCs/>
                <w:szCs w:val="22"/>
              </w:rPr>
            </w:pPr>
          </w:p>
          <w:p w14:paraId="21BA99A3" w14:textId="4637A66A" w:rsidR="00C4452C" w:rsidRDefault="00C4452C" w:rsidP="00351D4E">
            <w:pPr>
              <w:pStyle w:val="Header"/>
              <w:tabs>
                <w:tab w:val="clear" w:pos="4153"/>
                <w:tab w:val="clear" w:pos="8306"/>
              </w:tabs>
              <w:contextualSpacing/>
              <w:jc w:val="both"/>
              <w:rPr>
                <w:rFonts w:ascii="Calibri" w:hAnsi="Calibri"/>
                <w:bCs/>
                <w:szCs w:val="22"/>
              </w:rPr>
            </w:pPr>
            <w:r w:rsidRPr="00C4452C">
              <w:rPr>
                <w:rFonts w:ascii="Calibri" w:hAnsi="Calibri"/>
                <w:bCs/>
                <w:szCs w:val="22"/>
              </w:rPr>
              <w:lastRenderedPageBreak/>
              <w:t xml:space="preserve">Lancashire Country Council Highways have been consulted on the application and suggest a number of planning conditions be added to any grant of permission. These relate to the submission and approval of a Construction Traffic Management Plan, car parking provision, cycle storage provision, retention of the garage for parking of vehicles and surfacing of the access. </w:t>
            </w:r>
          </w:p>
          <w:p w14:paraId="4C4CAC00" w14:textId="77777777" w:rsidR="009C36E4" w:rsidRPr="00C4452C" w:rsidRDefault="009C36E4" w:rsidP="00351D4E">
            <w:pPr>
              <w:pStyle w:val="Header"/>
              <w:tabs>
                <w:tab w:val="clear" w:pos="4153"/>
                <w:tab w:val="clear" w:pos="8306"/>
              </w:tabs>
              <w:contextualSpacing/>
              <w:jc w:val="both"/>
              <w:rPr>
                <w:rFonts w:ascii="Calibri" w:hAnsi="Calibri"/>
                <w:bCs/>
                <w:szCs w:val="22"/>
              </w:rPr>
            </w:pPr>
          </w:p>
          <w:p w14:paraId="11CEC002" w14:textId="0EA4C295" w:rsidR="00351D4E" w:rsidRPr="00C4452C" w:rsidRDefault="00351D4E" w:rsidP="00351D4E">
            <w:pPr>
              <w:pStyle w:val="Header"/>
              <w:tabs>
                <w:tab w:val="clear" w:pos="4153"/>
                <w:tab w:val="clear" w:pos="8306"/>
              </w:tabs>
              <w:contextualSpacing/>
              <w:jc w:val="both"/>
              <w:rPr>
                <w:rFonts w:ascii="Calibri" w:hAnsi="Calibri"/>
                <w:bCs/>
                <w:szCs w:val="22"/>
              </w:rPr>
            </w:pPr>
            <w:r w:rsidRPr="00C4452C">
              <w:rPr>
                <w:rFonts w:ascii="Calibri" w:hAnsi="Calibri"/>
                <w:bCs/>
                <w:szCs w:val="22"/>
              </w:rPr>
              <w:t xml:space="preserve">Notwithstanding the above comments, this application relates solely to principle of development and whether the proposal would align with the spatial and locational strategy of the borough. </w:t>
            </w:r>
          </w:p>
          <w:p w14:paraId="43A8C8BF" w14:textId="77777777" w:rsidR="00351D4E" w:rsidRPr="00C4452C" w:rsidRDefault="00351D4E" w:rsidP="00351D4E">
            <w:pPr>
              <w:pStyle w:val="Header"/>
              <w:tabs>
                <w:tab w:val="clear" w:pos="4153"/>
                <w:tab w:val="clear" w:pos="8306"/>
              </w:tabs>
              <w:contextualSpacing/>
              <w:jc w:val="both"/>
              <w:rPr>
                <w:rFonts w:ascii="Calibri" w:hAnsi="Calibri"/>
                <w:bCs/>
                <w:szCs w:val="22"/>
              </w:rPr>
            </w:pPr>
          </w:p>
          <w:p w14:paraId="3D2A0DD2" w14:textId="0A5A1686" w:rsidR="00351D4E" w:rsidRPr="00C159CF" w:rsidRDefault="00351D4E" w:rsidP="00351D4E">
            <w:pPr>
              <w:pStyle w:val="Header"/>
              <w:tabs>
                <w:tab w:val="clear" w:pos="4153"/>
                <w:tab w:val="clear" w:pos="8306"/>
              </w:tabs>
              <w:contextualSpacing/>
              <w:jc w:val="both"/>
              <w:rPr>
                <w:rFonts w:ascii="Calibri" w:hAnsi="Calibri"/>
                <w:bCs/>
                <w:szCs w:val="22"/>
              </w:rPr>
            </w:pPr>
            <w:r w:rsidRPr="00C4452C">
              <w:rPr>
                <w:rFonts w:ascii="Calibri" w:hAnsi="Calibri"/>
                <w:bCs/>
                <w:szCs w:val="22"/>
              </w:rPr>
              <w:t>As such, the above matters relating to the potential highways impact(s) resultant from the development do not fall to be assessed within the scope of this application and would be reserved for consideration/assessment following the submission of ‘Technical Matters’.</w:t>
            </w:r>
            <w:r>
              <w:rPr>
                <w:rFonts w:ascii="Calibri" w:hAnsi="Calibri"/>
                <w:bCs/>
                <w:szCs w:val="22"/>
              </w:rPr>
              <w:t xml:space="preserve"> </w:t>
            </w:r>
          </w:p>
          <w:p w14:paraId="337694ED" w14:textId="1058ADC9" w:rsidR="009D0B6D" w:rsidRPr="009D0B6D" w:rsidRDefault="009D0B6D" w:rsidP="00351D4E">
            <w:pPr>
              <w:pStyle w:val="Header"/>
              <w:tabs>
                <w:tab w:val="clear" w:pos="4153"/>
                <w:tab w:val="clear" w:pos="8306"/>
              </w:tabs>
              <w:contextualSpacing/>
              <w:jc w:val="both"/>
              <w:rPr>
                <w:rFonts w:ascii="Calibri" w:hAnsi="Calibri"/>
                <w:bCs/>
                <w:szCs w:val="22"/>
              </w:rPr>
            </w:pPr>
          </w:p>
        </w:tc>
      </w:tr>
      <w:tr w:rsidR="00C0704D" w:rsidRPr="00D2449B" w14:paraId="6D877C31"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A3A3A0B" w14:textId="77777777" w:rsidR="00662024" w:rsidRDefault="00430125" w:rsidP="00A93CA9">
            <w:pPr>
              <w:contextualSpacing/>
              <w:rPr>
                <w:rFonts w:ascii="Calibri" w:hAnsi="Calibri"/>
                <w:bCs/>
                <w:szCs w:val="22"/>
              </w:rPr>
            </w:pPr>
            <w:r>
              <w:rPr>
                <w:rFonts w:ascii="Calibri" w:hAnsi="Calibri"/>
                <w:bCs/>
                <w:szCs w:val="22"/>
              </w:rPr>
              <w:t>The proposal would be located within close proximity to mature trees</w:t>
            </w:r>
            <w:r w:rsidR="005437DF">
              <w:rPr>
                <w:rFonts w:ascii="Calibri" w:hAnsi="Calibri"/>
                <w:bCs/>
                <w:szCs w:val="22"/>
              </w:rPr>
              <w:t xml:space="preserve"> and </w:t>
            </w:r>
            <w:r w:rsidR="00BC2383">
              <w:rPr>
                <w:rFonts w:ascii="Calibri" w:hAnsi="Calibri"/>
                <w:bCs/>
                <w:szCs w:val="22"/>
              </w:rPr>
              <w:t>within the Open Countryside</w:t>
            </w:r>
            <w:r w:rsidR="00A13C0B">
              <w:rPr>
                <w:rFonts w:ascii="Calibri" w:hAnsi="Calibri"/>
                <w:bCs/>
                <w:szCs w:val="22"/>
              </w:rPr>
              <w:t xml:space="preserve"> and concerns have been raised from a neighbour regarding swallows nesting in the stables and possible ecological implications as many trees have been cut down at the site</w:t>
            </w:r>
            <w:r w:rsidR="00BC2383">
              <w:rPr>
                <w:rFonts w:ascii="Calibri" w:hAnsi="Calibri"/>
                <w:bCs/>
                <w:szCs w:val="22"/>
              </w:rPr>
              <w:t>.</w:t>
            </w:r>
            <w:r w:rsidR="005437DF">
              <w:rPr>
                <w:rFonts w:ascii="Calibri" w:hAnsi="Calibri"/>
                <w:bCs/>
                <w:szCs w:val="22"/>
              </w:rPr>
              <w:t xml:space="preserve"> </w:t>
            </w:r>
            <w:r w:rsidR="00A13C0B">
              <w:rPr>
                <w:rFonts w:ascii="Calibri" w:hAnsi="Calibri"/>
                <w:bCs/>
                <w:szCs w:val="22"/>
              </w:rPr>
              <w:t>A</w:t>
            </w:r>
            <w:r w:rsidR="002E06EB" w:rsidRPr="002E06EB">
              <w:rPr>
                <w:rFonts w:ascii="Calibri" w:hAnsi="Calibri"/>
                <w:bCs/>
                <w:szCs w:val="22"/>
              </w:rPr>
              <w:t xml:space="preserve">ppropriate surveys </w:t>
            </w:r>
            <w:r w:rsidR="00A13C0B">
              <w:rPr>
                <w:rFonts w:ascii="Calibri" w:hAnsi="Calibri"/>
                <w:bCs/>
                <w:szCs w:val="22"/>
              </w:rPr>
              <w:t>would be required to</w:t>
            </w:r>
            <w:r w:rsidR="002E06EB" w:rsidRPr="002E06EB">
              <w:rPr>
                <w:rFonts w:ascii="Calibri" w:hAnsi="Calibri"/>
                <w:bCs/>
                <w:szCs w:val="22"/>
              </w:rPr>
              <w:t xml:space="preserve"> be undertaken (bats/nesting birds) and submitted in support of any subsequent ‘Technical Matters’ submission</w:t>
            </w:r>
            <w:r w:rsidR="005437DF">
              <w:rPr>
                <w:rFonts w:ascii="Calibri" w:hAnsi="Calibri"/>
                <w:bCs/>
                <w:szCs w:val="22"/>
              </w:rPr>
              <w:t xml:space="preserve"> </w:t>
            </w:r>
            <w:r w:rsidR="002E06EB" w:rsidRPr="002E06EB">
              <w:rPr>
                <w:rFonts w:ascii="Calibri" w:hAnsi="Calibri"/>
                <w:bCs/>
                <w:szCs w:val="22"/>
              </w:rPr>
              <w:t xml:space="preserve">to </w:t>
            </w:r>
            <w:r w:rsidR="005437DF">
              <w:rPr>
                <w:rFonts w:ascii="Calibri" w:hAnsi="Calibri"/>
                <w:bCs/>
                <w:szCs w:val="22"/>
              </w:rPr>
              <w:t>determine</w:t>
            </w:r>
            <w:r w:rsidR="002E06EB" w:rsidRPr="002E06EB">
              <w:rPr>
                <w:rFonts w:ascii="Calibri" w:hAnsi="Calibri"/>
                <w:bCs/>
                <w:szCs w:val="22"/>
              </w:rPr>
              <w:t xml:space="preserve"> whether </w:t>
            </w:r>
            <w:r w:rsidR="002E06EB" w:rsidRPr="003D6AF8">
              <w:rPr>
                <w:rFonts w:ascii="Calibri" w:hAnsi="Calibri"/>
                <w:bCs/>
                <w:szCs w:val="22"/>
              </w:rPr>
              <w:t>the proposal is likely to result in adverse impacts upon protected species or species of conservation concern.</w:t>
            </w:r>
          </w:p>
          <w:p w14:paraId="43AEAF91" w14:textId="77777777" w:rsidR="00662024" w:rsidRDefault="00662024" w:rsidP="00A93CA9">
            <w:pPr>
              <w:contextualSpacing/>
              <w:rPr>
                <w:rFonts w:ascii="Calibri" w:hAnsi="Calibri"/>
                <w:bCs/>
                <w:szCs w:val="22"/>
              </w:rPr>
            </w:pPr>
          </w:p>
          <w:p w14:paraId="5DB4139B" w14:textId="6D778815" w:rsidR="00A93CA9" w:rsidRPr="00A93CA9" w:rsidRDefault="00662024" w:rsidP="00A93CA9">
            <w:pPr>
              <w:contextualSpacing/>
              <w:rPr>
                <w:rFonts w:ascii="Calibri" w:hAnsi="Calibri"/>
                <w:bCs/>
                <w:szCs w:val="22"/>
              </w:rPr>
            </w:pPr>
            <w:r>
              <w:rPr>
                <w:rFonts w:ascii="Calibri" w:hAnsi="Calibri"/>
                <w:bCs/>
                <w:szCs w:val="22"/>
              </w:rPr>
              <w:t>As</w:t>
            </w:r>
            <w:r w:rsidR="00A93CA9" w:rsidRPr="003D6AF8">
              <w:rPr>
                <w:rFonts w:ascii="Calibri" w:hAnsi="Calibri"/>
                <w:bCs/>
                <w:szCs w:val="22"/>
              </w:rPr>
              <w:t xml:space="preserve"> the application is proposed as a self-build dwelling </w:t>
            </w:r>
            <w:r>
              <w:rPr>
                <w:rFonts w:ascii="Calibri" w:hAnsi="Calibri"/>
                <w:bCs/>
                <w:szCs w:val="22"/>
              </w:rPr>
              <w:t xml:space="preserve">and </w:t>
            </w:r>
            <w:r w:rsidRPr="003D6AF8">
              <w:rPr>
                <w:rFonts w:ascii="Calibri" w:hAnsi="Calibri"/>
                <w:bCs/>
                <w:szCs w:val="22"/>
              </w:rPr>
              <w:t>a legal agreement to secure this has been signed and submitted</w:t>
            </w:r>
            <w:r>
              <w:rPr>
                <w:rFonts w:ascii="Calibri" w:hAnsi="Calibri"/>
                <w:bCs/>
                <w:szCs w:val="22"/>
              </w:rPr>
              <w:t>, it would</w:t>
            </w:r>
            <w:r w:rsidR="00A93CA9" w:rsidRPr="003D6AF8">
              <w:rPr>
                <w:rFonts w:ascii="Calibri" w:hAnsi="Calibri"/>
                <w:bCs/>
                <w:szCs w:val="22"/>
              </w:rPr>
              <w:t xml:space="preserve"> benefit from the mandatory BNG exemption rules.</w:t>
            </w:r>
          </w:p>
          <w:p w14:paraId="5AF374EA" w14:textId="77777777" w:rsidR="005437DF" w:rsidRDefault="005437DF" w:rsidP="002E06EB">
            <w:pPr>
              <w:contextualSpacing/>
              <w:jc w:val="both"/>
              <w:rPr>
                <w:rFonts w:ascii="Calibri" w:hAnsi="Calibri"/>
                <w:bCs/>
                <w:szCs w:val="22"/>
              </w:rPr>
            </w:pPr>
          </w:p>
          <w:p w14:paraId="4E4E7C23" w14:textId="31490A9A" w:rsidR="005437DF" w:rsidRPr="002E06EB" w:rsidRDefault="00650420" w:rsidP="002E06EB">
            <w:pPr>
              <w:contextualSpacing/>
              <w:jc w:val="both"/>
              <w:rPr>
                <w:rFonts w:ascii="Calibri" w:hAnsi="Calibri"/>
                <w:bCs/>
                <w:szCs w:val="22"/>
              </w:rPr>
            </w:pPr>
            <w:r w:rsidRPr="005D1457">
              <w:rPr>
                <w:rFonts w:ascii="Calibri" w:hAnsi="Calibri"/>
                <w:bCs/>
                <w:szCs w:val="22"/>
              </w:rPr>
              <w:t>The site</w:t>
            </w:r>
            <w:r w:rsidR="00BC2383">
              <w:rPr>
                <w:rFonts w:ascii="Calibri" w:hAnsi="Calibri"/>
                <w:bCs/>
                <w:szCs w:val="22"/>
              </w:rPr>
              <w:t xml:space="preserve"> also</w:t>
            </w:r>
            <w:r w:rsidRPr="005D1457">
              <w:rPr>
                <w:rFonts w:ascii="Calibri" w:hAnsi="Calibri"/>
                <w:bCs/>
                <w:szCs w:val="22"/>
              </w:rPr>
              <w:t xml:space="preserve"> has a number of trees running along the</w:t>
            </w:r>
            <w:r w:rsidR="00BC2383">
              <w:rPr>
                <w:rFonts w:ascii="Calibri" w:hAnsi="Calibri"/>
                <w:bCs/>
                <w:szCs w:val="22"/>
              </w:rPr>
              <w:t xml:space="preserve"> site boundaries. A</w:t>
            </w:r>
            <w:r w:rsidRPr="005D1457">
              <w:rPr>
                <w:rFonts w:ascii="Calibri" w:hAnsi="Calibri"/>
                <w:bCs/>
                <w:szCs w:val="22"/>
              </w:rPr>
              <w:t xml:space="preserve">ny ‘Technical Matters’ submission would be required to include an Arboricultural Report and details of Tree Protection Methods </w:t>
            </w:r>
            <w:r w:rsidR="0015332F">
              <w:rPr>
                <w:rFonts w:ascii="Calibri" w:hAnsi="Calibri"/>
                <w:bCs/>
                <w:szCs w:val="22"/>
              </w:rPr>
              <w:t xml:space="preserve">depending on the proximity of the proposal to the trees along the boundary (as the site plan does not appear to show all the trees on site) </w:t>
            </w:r>
            <w:r w:rsidRPr="005D1457">
              <w:rPr>
                <w:rFonts w:ascii="Calibri" w:hAnsi="Calibri"/>
                <w:bCs/>
                <w:szCs w:val="22"/>
              </w:rPr>
              <w:t xml:space="preserve">to </w:t>
            </w:r>
            <w:r w:rsidR="00BC2383">
              <w:rPr>
                <w:rFonts w:ascii="Calibri" w:hAnsi="Calibri"/>
                <w:bCs/>
                <w:szCs w:val="22"/>
              </w:rPr>
              <w:t>identify the location of the trees and that any trees located outside of the application site</w:t>
            </w:r>
            <w:r w:rsidRPr="005D1457">
              <w:rPr>
                <w:rFonts w:ascii="Calibri" w:hAnsi="Calibri"/>
                <w:bCs/>
                <w:szCs w:val="22"/>
              </w:rPr>
              <w:t xml:space="preserve"> would not be harmed as a result of the development.</w:t>
            </w:r>
            <w:r>
              <w:rPr>
                <w:rFonts w:ascii="Calibri" w:hAnsi="Calibri"/>
                <w:bCs/>
                <w:szCs w:val="22"/>
              </w:rPr>
              <w:t xml:space="preserve"> </w:t>
            </w:r>
          </w:p>
          <w:p w14:paraId="6337C4D8" w14:textId="77777777" w:rsidR="002E06EB" w:rsidRDefault="002E06EB" w:rsidP="00E46243">
            <w:pPr>
              <w:contextualSpacing/>
              <w:rPr>
                <w:rFonts w:ascii="Calibri" w:hAnsi="Calibri"/>
                <w:b/>
                <w:szCs w:val="22"/>
              </w:rPr>
            </w:pPr>
          </w:p>
        </w:tc>
      </w:tr>
      <w:tr w:rsidR="005437DF" w:rsidRPr="00D2449B" w14:paraId="048E7AAB"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AF4FAA" w14:textId="77777777" w:rsidR="005437DF" w:rsidRDefault="005437DF" w:rsidP="00EA09F9">
            <w:pPr>
              <w:pStyle w:val="Header"/>
              <w:tabs>
                <w:tab w:val="clear" w:pos="4153"/>
                <w:tab w:val="clear" w:pos="8306"/>
              </w:tabs>
              <w:contextualSpacing/>
              <w:jc w:val="both"/>
              <w:rPr>
                <w:rFonts w:ascii="Calibri" w:hAnsi="Calibri"/>
                <w:b/>
                <w:szCs w:val="22"/>
              </w:rPr>
            </w:pPr>
            <w:r>
              <w:rPr>
                <w:rFonts w:ascii="Calibri" w:hAnsi="Calibri"/>
                <w:b/>
                <w:szCs w:val="22"/>
              </w:rPr>
              <w:t>Heritage:</w:t>
            </w:r>
          </w:p>
          <w:p w14:paraId="0A0CA7C5" w14:textId="77777777" w:rsidR="005437DF" w:rsidRDefault="005437DF" w:rsidP="00EA09F9">
            <w:pPr>
              <w:pStyle w:val="Header"/>
              <w:tabs>
                <w:tab w:val="clear" w:pos="4153"/>
                <w:tab w:val="clear" w:pos="8306"/>
              </w:tabs>
              <w:contextualSpacing/>
              <w:jc w:val="both"/>
              <w:rPr>
                <w:rFonts w:ascii="Calibri" w:hAnsi="Calibri"/>
                <w:b/>
                <w:szCs w:val="22"/>
              </w:rPr>
            </w:pPr>
          </w:p>
          <w:p w14:paraId="18F59922" w14:textId="4B7E0998" w:rsidR="000834A5" w:rsidRDefault="00D50C39" w:rsidP="00EA09F9">
            <w:pPr>
              <w:pStyle w:val="Header"/>
              <w:tabs>
                <w:tab w:val="clear" w:pos="4153"/>
                <w:tab w:val="clear" w:pos="8306"/>
              </w:tabs>
              <w:contextualSpacing/>
              <w:jc w:val="both"/>
              <w:rPr>
                <w:rFonts w:ascii="Calibri" w:hAnsi="Calibri"/>
                <w:bCs/>
                <w:szCs w:val="22"/>
              </w:rPr>
            </w:pPr>
            <w:r w:rsidRPr="009B4E3E">
              <w:rPr>
                <w:rFonts w:ascii="Calibri" w:hAnsi="Calibri"/>
                <w:bCs/>
                <w:szCs w:val="22"/>
              </w:rPr>
              <w:t>The site access</w:t>
            </w:r>
            <w:r w:rsidR="0048212F" w:rsidRPr="009B4E3E">
              <w:rPr>
                <w:rFonts w:ascii="Calibri" w:hAnsi="Calibri"/>
                <w:bCs/>
                <w:szCs w:val="22"/>
              </w:rPr>
              <w:t xml:space="preserve"> is adjacent to Grade II Listed Tunnel Portal in the John Smith Playing Field.</w:t>
            </w:r>
          </w:p>
          <w:p w14:paraId="6F1B6D18" w14:textId="77777777" w:rsidR="0048212F" w:rsidRDefault="0048212F" w:rsidP="00EA09F9">
            <w:pPr>
              <w:pStyle w:val="Header"/>
              <w:tabs>
                <w:tab w:val="clear" w:pos="4153"/>
                <w:tab w:val="clear" w:pos="8306"/>
              </w:tabs>
              <w:contextualSpacing/>
              <w:jc w:val="both"/>
              <w:rPr>
                <w:rFonts w:ascii="Calibri" w:hAnsi="Calibri"/>
                <w:bCs/>
                <w:szCs w:val="22"/>
              </w:rPr>
            </w:pPr>
          </w:p>
          <w:p w14:paraId="6BC63804" w14:textId="7AE735C8" w:rsidR="00D50C39" w:rsidRDefault="000111A9" w:rsidP="006A250A">
            <w:pPr>
              <w:pStyle w:val="Header"/>
              <w:tabs>
                <w:tab w:val="clear" w:pos="4153"/>
                <w:tab w:val="clear" w:pos="8306"/>
              </w:tabs>
              <w:contextualSpacing/>
              <w:jc w:val="both"/>
              <w:rPr>
                <w:rFonts w:ascii="Calibri" w:hAnsi="Calibri"/>
                <w:bCs/>
                <w:szCs w:val="22"/>
              </w:rPr>
            </w:pPr>
            <w:r>
              <w:rPr>
                <w:rFonts w:ascii="Calibri" w:hAnsi="Calibri"/>
                <w:bCs/>
                <w:szCs w:val="22"/>
              </w:rPr>
              <w:t>A</w:t>
            </w:r>
            <w:r w:rsidR="006A250A">
              <w:rPr>
                <w:rFonts w:ascii="Calibri" w:hAnsi="Calibri"/>
                <w:bCs/>
                <w:szCs w:val="22"/>
              </w:rPr>
              <w:t xml:space="preserve"> full assessment would be made following the submission of ‘Technical Matters’ of the scale of any harm o</w:t>
            </w:r>
            <w:r w:rsidR="00D50C39">
              <w:rPr>
                <w:rFonts w:ascii="Calibri" w:hAnsi="Calibri"/>
                <w:bCs/>
                <w:szCs w:val="22"/>
              </w:rPr>
              <w:t>r</w:t>
            </w:r>
            <w:r w:rsidR="006A250A">
              <w:rPr>
                <w:rFonts w:ascii="Calibri" w:hAnsi="Calibri"/>
                <w:bCs/>
                <w:szCs w:val="22"/>
              </w:rPr>
              <w:t xml:space="preserve"> loss of the significance of the designated heritage asset in accordance with Polic</w:t>
            </w:r>
            <w:r>
              <w:rPr>
                <w:rFonts w:ascii="Calibri" w:hAnsi="Calibri"/>
                <w:bCs/>
                <w:szCs w:val="22"/>
              </w:rPr>
              <w:t>y</w:t>
            </w:r>
            <w:r w:rsidR="006A250A">
              <w:rPr>
                <w:rFonts w:ascii="Calibri" w:hAnsi="Calibri"/>
                <w:bCs/>
                <w:szCs w:val="22"/>
              </w:rPr>
              <w:t xml:space="preserve"> DME4 of the Ribble Valley Core Strategy and Policy LNDP5 of the adopted Longridge Neighbourhood Development Plan. </w:t>
            </w:r>
          </w:p>
          <w:p w14:paraId="1ED24ADB" w14:textId="3097D1F2" w:rsidR="006A250A" w:rsidRPr="005437DF" w:rsidRDefault="006A250A" w:rsidP="006A250A">
            <w:pPr>
              <w:pStyle w:val="Header"/>
              <w:tabs>
                <w:tab w:val="clear" w:pos="4153"/>
                <w:tab w:val="clear" w:pos="8306"/>
              </w:tabs>
              <w:contextualSpacing/>
              <w:jc w:val="both"/>
              <w:rPr>
                <w:rFonts w:ascii="Calibri" w:hAnsi="Calibri"/>
                <w:bCs/>
                <w:szCs w:val="22"/>
              </w:rPr>
            </w:pPr>
          </w:p>
        </w:tc>
      </w:tr>
      <w:tr w:rsidR="00D50C39" w:rsidRPr="00D2449B" w14:paraId="49EEBC49"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227968" w14:textId="2EE85DD5" w:rsidR="00D8320B" w:rsidRDefault="00D50C39" w:rsidP="00D50C3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5F0221F1" w14:textId="77777777" w:rsidR="000111A9" w:rsidRPr="000111A9" w:rsidRDefault="000111A9" w:rsidP="00D50C39">
            <w:pPr>
              <w:pStyle w:val="Header"/>
              <w:tabs>
                <w:tab w:val="clear" w:pos="4153"/>
                <w:tab w:val="clear" w:pos="8306"/>
              </w:tabs>
              <w:contextualSpacing/>
              <w:jc w:val="both"/>
              <w:rPr>
                <w:rFonts w:ascii="Calibri" w:hAnsi="Calibri"/>
                <w:b/>
                <w:szCs w:val="22"/>
              </w:rPr>
            </w:pPr>
          </w:p>
          <w:p w14:paraId="19BEDDFD" w14:textId="4E45AA45" w:rsidR="00D50C39" w:rsidRPr="00D50C39" w:rsidRDefault="00D50C39" w:rsidP="00D50C39">
            <w:pPr>
              <w:pStyle w:val="Header"/>
              <w:tabs>
                <w:tab w:val="clear" w:pos="4153"/>
                <w:tab w:val="clear" w:pos="8306"/>
              </w:tabs>
              <w:contextualSpacing/>
              <w:jc w:val="both"/>
              <w:rPr>
                <w:rFonts w:ascii="Calibri" w:hAnsi="Calibri"/>
                <w:bCs/>
                <w:szCs w:val="22"/>
              </w:rPr>
            </w:pPr>
            <w:r w:rsidRPr="00D50C39">
              <w:rPr>
                <w:rFonts w:ascii="Calibri" w:hAnsi="Calibri"/>
                <w:bCs/>
                <w:szCs w:val="22"/>
              </w:rPr>
              <w:t xml:space="preserve">The Councils records indicate that United Utilities have apparatus which runs directly through the application site. This application relates solely to principle of development and whether the proposal would align with the spatial and locational strategy of the borough. </w:t>
            </w:r>
            <w:r w:rsidR="008A0310">
              <w:rPr>
                <w:rFonts w:ascii="Calibri" w:hAnsi="Calibri"/>
                <w:bCs/>
                <w:szCs w:val="22"/>
              </w:rPr>
              <w:t>In addition, concerns have been raised regarding flood risk implications from a resident.</w:t>
            </w:r>
          </w:p>
          <w:p w14:paraId="4A56FDC3" w14:textId="77777777" w:rsidR="00D50C39" w:rsidRPr="00D50C39" w:rsidRDefault="00D50C39" w:rsidP="00D50C39">
            <w:pPr>
              <w:pStyle w:val="Header"/>
              <w:tabs>
                <w:tab w:val="clear" w:pos="4153"/>
                <w:tab w:val="clear" w:pos="8306"/>
              </w:tabs>
              <w:contextualSpacing/>
              <w:jc w:val="both"/>
              <w:rPr>
                <w:rFonts w:ascii="Calibri" w:hAnsi="Calibri"/>
                <w:bCs/>
                <w:szCs w:val="22"/>
              </w:rPr>
            </w:pPr>
          </w:p>
          <w:p w14:paraId="06520D4A" w14:textId="5DE37283" w:rsidR="00D50C39" w:rsidRPr="00C159CF" w:rsidRDefault="000111A9" w:rsidP="00D50C39">
            <w:pPr>
              <w:pStyle w:val="Header"/>
              <w:tabs>
                <w:tab w:val="clear" w:pos="4153"/>
                <w:tab w:val="clear" w:pos="8306"/>
              </w:tabs>
              <w:contextualSpacing/>
              <w:jc w:val="both"/>
              <w:rPr>
                <w:rFonts w:ascii="Calibri" w:hAnsi="Calibri"/>
                <w:bCs/>
                <w:szCs w:val="22"/>
              </w:rPr>
            </w:pPr>
            <w:r>
              <w:rPr>
                <w:rFonts w:ascii="Calibri" w:hAnsi="Calibri"/>
                <w:bCs/>
                <w:szCs w:val="22"/>
              </w:rPr>
              <w:t xml:space="preserve">Concerns have also been raised for resident regarding inadequate drainage at the site and the potential flood risk as a result. </w:t>
            </w:r>
            <w:r w:rsidR="008A0310">
              <w:rPr>
                <w:rFonts w:ascii="Calibri" w:hAnsi="Calibri"/>
                <w:bCs/>
                <w:szCs w:val="22"/>
              </w:rPr>
              <w:t>However, the</w:t>
            </w:r>
            <w:r w:rsidR="00D50C39" w:rsidRPr="00D50C39">
              <w:rPr>
                <w:rFonts w:ascii="Calibri" w:hAnsi="Calibri"/>
                <w:bCs/>
                <w:szCs w:val="22"/>
              </w:rPr>
              <w:t xml:space="preserve"> above matters relating to the potential impact on water utilities </w:t>
            </w:r>
            <w:r w:rsidR="008A0310">
              <w:rPr>
                <w:rFonts w:ascii="Calibri" w:hAnsi="Calibri"/>
                <w:bCs/>
                <w:szCs w:val="22"/>
              </w:rPr>
              <w:t xml:space="preserve">and flood risk implications </w:t>
            </w:r>
            <w:r w:rsidR="00D50C39" w:rsidRPr="00D50C39">
              <w:rPr>
                <w:rFonts w:ascii="Calibri" w:hAnsi="Calibri"/>
                <w:bCs/>
                <w:szCs w:val="22"/>
              </w:rPr>
              <w:t>resultant from the development do not fall to be assessed within the scope of this application and would be reserved for consideration/assessment following the submission of ‘Technical Matters’.</w:t>
            </w:r>
            <w:r w:rsidR="00D50C39">
              <w:rPr>
                <w:rFonts w:ascii="Calibri" w:hAnsi="Calibri"/>
                <w:bCs/>
                <w:szCs w:val="22"/>
              </w:rPr>
              <w:t xml:space="preserve"> </w:t>
            </w:r>
          </w:p>
          <w:p w14:paraId="1470E430" w14:textId="617999E8" w:rsidR="00D50C39" w:rsidRDefault="00D50C39"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0A1EB2">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3A9D312F" w14:textId="25452D47" w:rsidR="009F4443" w:rsidRDefault="00C4452C" w:rsidP="00C4452C">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proposed development is considered to be in conflict with the development strategy for the Borough and would result in residential development that does not fall within any of the exceptions outlined within Policies DMG2 and DMH3 within the Ribble Valley Core Strategy. Notwithstanding the above, the </w:t>
            </w:r>
            <w:r w:rsidR="000A1EB2">
              <w:rPr>
                <w:rFonts w:ascii="Calibri" w:hAnsi="Calibri"/>
                <w:bCs/>
                <w:szCs w:val="22"/>
              </w:rPr>
              <w:t xml:space="preserve">granting of this permission would result in one self-build dwelling which, taking into account the appeal decision discussed earlier in this report is given </w:t>
            </w:r>
            <w:r w:rsidR="00662024">
              <w:rPr>
                <w:rFonts w:ascii="Calibri" w:hAnsi="Calibri"/>
                <w:bCs/>
                <w:szCs w:val="22"/>
              </w:rPr>
              <w:t>moderate</w:t>
            </w:r>
            <w:r w:rsidR="000A1EB2">
              <w:rPr>
                <w:rFonts w:ascii="Calibri" w:hAnsi="Calibri"/>
                <w:bCs/>
                <w:szCs w:val="22"/>
              </w:rPr>
              <w:t xml:space="preserve"> weight. It is considered that the benefits of providing a self-build dwelling</w:t>
            </w:r>
            <w:r w:rsidR="00A66B5D">
              <w:rPr>
                <w:rFonts w:ascii="Calibri" w:hAnsi="Calibri"/>
                <w:bCs/>
                <w:szCs w:val="22"/>
              </w:rPr>
              <w:t xml:space="preserve"> where the Council currently has a shortfall of supply</w:t>
            </w:r>
            <w:r w:rsidR="000A1EB2">
              <w:rPr>
                <w:rFonts w:ascii="Calibri" w:hAnsi="Calibri"/>
                <w:bCs/>
                <w:szCs w:val="22"/>
              </w:rPr>
              <w:t xml:space="preserve">, in a sustainable location which is not considered to be out of keeping with the pattern of development would outweigh the deviation from the development strategy for the Borough. As such, it is recommended that permission in principle is granted. </w:t>
            </w:r>
          </w:p>
          <w:p w14:paraId="3A4BD7A7" w14:textId="572A1963" w:rsidR="000A1EB2" w:rsidRDefault="000A1EB2" w:rsidP="00C4452C">
            <w:pPr>
              <w:pStyle w:val="Header"/>
              <w:tabs>
                <w:tab w:val="clear" w:pos="4153"/>
                <w:tab w:val="clear" w:pos="8306"/>
              </w:tabs>
              <w:contextualSpacing/>
              <w:jc w:val="both"/>
              <w:rPr>
                <w:rFonts w:ascii="Calibri" w:hAnsi="Calibri"/>
                <w:b/>
                <w:szCs w:val="22"/>
              </w:rPr>
            </w:pPr>
          </w:p>
        </w:tc>
      </w:tr>
      <w:tr w:rsidR="00C0704D" w:rsidRPr="00D2449B" w14:paraId="507FC89B" w14:textId="77777777" w:rsidTr="000A1EB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4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834AEEA" w:rsidR="00C0704D" w:rsidRPr="00D2449B" w:rsidRDefault="00D41C50" w:rsidP="00CD2CEF">
            <w:pPr>
              <w:rPr>
                <w:rFonts w:ascii="Calibri" w:hAnsi="Calibri"/>
                <w:bCs/>
                <w:szCs w:val="22"/>
              </w:rPr>
            </w:pPr>
            <w:r>
              <w:rPr>
                <w:rFonts w:asciiTheme="minorHAnsi" w:hAnsiTheme="minorHAnsi"/>
                <w:bCs/>
                <w:szCs w:val="22"/>
              </w:rPr>
              <w:t xml:space="preserve">That Permission in Principle be </w:t>
            </w:r>
            <w:r w:rsidR="000A1EB2">
              <w:rPr>
                <w:rFonts w:asciiTheme="minorHAnsi" w:hAnsiTheme="minorHAnsi"/>
                <w:bCs/>
                <w:szCs w:val="22"/>
              </w:rPr>
              <w:t xml:space="preserve">granted subject to condition(s). </w:t>
            </w:r>
          </w:p>
        </w:tc>
      </w:tr>
    </w:tbl>
    <w:p w14:paraId="513FB541" w14:textId="77777777" w:rsidR="0033349B" w:rsidRPr="00D2449B" w:rsidRDefault="0033349B">
      <w:pPr>
        <w:rPr>
          <w:rFonts w:ascii="Calibri" w:hAnsi="Calibri"/>
          <w:szCs w:val="22"/>
        </w:rPr>
      </w:pPr>
    </w:p>
    <w:sectPr w:rsidR="0033349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800C8"/>
    <w:multiLevelType w:val="hybridMultilevel"/>
    <w:tmpl w:val="32462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DD0ABC"/>
    <w:multiLevelType w:val="hybridMultilevel"/>
    <w:tmpl w:val="003EA9A4"/>
    <w:lvl w:ilvl="0" w:tplc="053C3AAA">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5833A4"/>
    <w:multiLevelType w:val="hybridMultilevel"/>
    <w:tmpl w:val="CD083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3D3BDB"/>
    <w:multiLevelType w:val="hybridMultilevel"/>
    <w:tmpl w:val="E6BEB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0F477A"/>
    <w:multiLevelType w:val="hybridMultilevel"/>
    <w:tmpl w:val="AD0A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513819"/>
    <w:multiLevelType w:val="hybridMultilevel"/>
    <w:tmpl w:val="60587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A354D1"/>
    <w:multiLevelType w:val="hybridMultilevel"/>
    <w:tmpl w:val="1BA86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9"/>
  </w:num>
  <w:num w:numId="2" w16cid:durableId="653022212">
    <w:abstractNumId w:val="5"/>
  </w:num>
  <w:num w:numId="3" w16cid:durableId="1876768117">
    <w:abstractNumId w:val="3"/>
  </w:num>
  <w:num w:numId="4" w16cid:durableId="163280497">
    <w:abstractNumId w:val="2"/>
  </w:num>
  <w:num w:numId="5" w16cid:durableId="1958216830">
    <w:abstractNumId w:val="7"/>
  </w:num>
  <w:num w:numId="6" w16cid:durableId="1745637641">
    <w:abstractNumId w:val="4"/>
  </w:num>
  <w:num w:numId="7" w16cid:durableId="1112047449">
    <w:abstractNumId w:val="10"/>
  </w:num>
  <w:num w:numId="8" w16cid:durableId="1848863317">
    <w:abstractNumId w:val="0"/>
  </w:num>
  <w:num w:numId="9" w16cid:durableId="1332293916">
    <w:abstractNumId w:val="8"/>
  </w:num>
  <w:num w:numId="10" w16cid:durableId="1172136058">
    <w:abstractNumId w:val="1"/>
  </w:num>
  <w:num w:numId="11" w16cid:durableId="2078822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1A9"/>
    <w:rsid w:val="0005655E"/>
    <w:rsid w:val="0006601D"/>
    <w:rsid w:val="000834A5"/>
    <w:rsid w:val="000A1EB2"/>
    <w:rsid w:val="000A6DFE"/>
    <w:rsid w:val="000B5CB5"/>
    <w:rsid w:val="000C6707"/>
    <w:rsid w:val="000D6744"/>
    <w:rsid w:val="00130035"/>
    <w:rsid w:val="0015332F"/>
    <w:rsid w:val="00156875"/>
    <w:rsid w:val="00173F28"/>
    <w:rsid w:val="00183DE7"/>
    <w:rsid w:val="001906E5"/>
    <w:rsid w:val="001D4F7A"/>
    <w:rsid w:val="001E135D"/>
    <w:rsid w:val="001F3A02"/>
    <w:rsid w:val="00250879"/>
    <w:rsid w:val="00265F9B"/>
    <w:rsid w:val="0027002D"/>
    <w:rsid w:val="00272437"/>
    <w:rsid w:val="00282E3A"/>
    <w:rsid w:val="0029334A"/>
    <w:rsid w:val="002954E5"/>
    <w:rsid w:val="002A01CF"/>
    <w:rsid w:val="002C6277"/>
    <w:rsid w:val="002C768C"/>
    <w:rsid w:val="002E06EB"/>
    <w:rsid w:val="002F2580"/>
    <w:rsid w:val="0031680A"/>
    <w:rsid w:val="00321B6E"/>
    <w:rsid w:val="00327165"/>
    <w:rsid w:val="0033022A"/>
    <w:rsid w:val="0033349B"/>
    <w:rsid w:val="00351D4E"/>
    <w:rsid w:val="003B0A81"/>
    <w:rsid w:val="003B653F"/>
    <w:rsid w:val="003C2FAB"/>
    <w:rsid w:val="003D0628"/>
    <w:rsid w:val="003D6AF8"/>
    <w:rsid w:val="003E110F"/>
    <w:rsid w:val="00404D7E"/>
    <w:rsid w:val="00430125"/>
    <w:rsid w:val="00440CB6"/>
    <w:rsid w:val="0046548C"/>
    <w:rsid w:val="0048212F"/>
    <w:rsid w:val="004909B3"/>
    <w:rsid w:val="004947BB"/>
    <w:rsid w:val="00497407"/>
    <w:rsid w:val="004A5EA9"/>
    <w:rsid w:val="004B29AC"/>
    <w:rsid w:val="004C19B9"/>
    <w:rsid w:val="004C2434"/>
    <w:rsid w:val="004C4058"/>
    <w:rsid w:val="004F0649"/>
    <w:rsid w:val="004F16F4"/>
    <w:rsid w:val="00510FA2"/>
    <w:rsid w:val="00511D4D"/>
    <w:rsid w:val="005252BE"/>
    <w:rsid w:val="005421EB"/>
    <w:rsid w:val="005437DF"/>
    <w:rsid w:val="00553845"/>
    <w:rsid w:val="00556ECD"/>
    <w:rsid w:val="005D1457"/>
    <w:rsid w:val="005E1C6C"/>
    <w:rsid w:val="005E65DF"/>
    <w:rsid w:val="005F488D"/>
    <w:rsid w:val="005F7CBE"/>
    <w:rsid w:val="00622B88"/>
    <w:rsid w:val="00650420"/>
    <w:rsid w:val="0065733A"/>
    <w:rsid w:val="00662024"/>
    <w:rsid w:val="006631DD"/>
    <w:rsid w:val="0067759E"/>
    <w:rsid w:val="0067769D"/>
    <w:rsid w:val="00692B60"/>
    <w:rsid w:val="006A250A"/>
    <w:rsid w:val="006A71AD"/>
    <w:rsid w:val="006C2BFA"/>
    <w:rsid w:val="006D1050"/>
    <w:rsid w:val="006E2F86"/>
    <w:rsid w:val="006E3356"/>
    <w:rsid w:val="006E75A3"/>
    <w:rsid w:val="006F6849"/>
    <w:rsid w:val="0070054B"/>
    <w:rsid w:val="00730134"/>
    <w:rsid w:val="007344D5"/>
    <w:rsid w:val="00742EBF"/>
    <w:rsid w:val="00761D2C"/>
    <w:rsid w:val="00765B66"/>
    <w:rsid w:val="00770392"/>
    <w:rsid w:val="00773A66"/>
    <w:rsid w:val="00776AE2"/>
    <w:rsid w:val="007A657B"/>
    <w:rsid w:val="007B62CF"/>
    <w:rsid w:val="007C791C"/>
    <w:rsid w:val="007D7DF4"/>
    <w:rsid w:val="007E0D23"/>
    <w:rsid w:val="007F16D6"/>
    <w:rsid w:val="00811771"/>
    <w:rsid w:val="00816D15"/>
    <w:rsid w:val="00824DB6"/>
    <w:rsid w:val="00825042"/>
    <w:rsid w:val="008254DA"/>
    <w:rsid w:val="00837F4F"/>
    <w:rsid w:val="0084226E"/>
    <w:rsid w:val="00844387"/>
    <w:rsid w:val="00846A2F"/>
    <w:rsid w:val="008542DE"/>
    <w:rsid w:val="008636DA"/>
    <w:rsid w:val="008A0310"/>
    <w:rsid w:val="008A1BB4"/>
    <w:rsid w:val="008A28C8"/>
    <w:rsid w:val="00957E00"/>
    <w:rsid w:val="009624A5"/>
    <w:rsid w:val="009877AA"/>
    <w:rsid w:val="009A76FB"/>
    <w:rsid w:val="009B4E3E"/>
    <w:rsid w:val="009C36E4"/>
    <w:rsid w:val="009D0B6D"/>
    <w:rsid w:val="009F0D32"/>
    <w:rsid w:val="009F4443"/>
    <w:rsid w:val="009F7775"/>
    <w:rsid w:val="00A00D4A"/>
    <w:rsid w:val="00A13C0B"/>
    <w:rsid w:val="00A37320"/>
    <w:rsid w:val="00A42E82"/>
    <w:rsid w:val="00A579BB"/>
    <w:rsid w:val="00A63D55"/>
    <w:rsid w:val="00A66B5D"/>
    <w:rsid w:val="00A93CA9"/>
    <w:rsid w:val="00A95D89"/>
    <w:rsid w:val="00AF2CC7"/>
    <w:rsid w:val="00B246E3"/>
    <w:rsid w:val="00B60ADC"/>
    <w:rsid w:val="00B61691"/>
    <w:rsid w:val="00B93EB5"/>
    <w:rsid w:val="00BA038F"/>
    <w:rsid w:val="00BC01C6"/>
    <w:rsid w:val="00BC2383"/>
    <w:rsid w:val="00BD3F03"/>
    <w:rsid w:val="00BE1145"/>
    <w:rsid w:val="00C0704D"/>
    <w:rsid w:val="00C159CF"/>
    <w:rsid w:val="00C159DB"/>
    <w:rsid w:val="00C22413"/>
    <w:rsid w:val="00C25722"/>
    <w:rsid w:val="00C25D66"/>
    <w:rsid w:val="00C4452C"/>
    <w:rsid w:val="00C618DB"/>
    <w:rsid w:val="00CA459B"/>
    <w:rsid w:val="00CC4EA5"/>
    <w:rsid w:val="00CD6210"/>
    <w:rsid w:val="00CE453F"/>
    <w:rsid w:val="00CE694B"/>
    <w:rsid w:val="00CF26FC"/>
    <w:rsid w:val="00D05697"/>
    <w:rsid w:val="00D11007"/>
    <w:rsid w:val="00D15C6E"/>
    <w:rsid w:val="00D17EB1"/>
    <w:rsid w:val="00D2449B"/>
    <w:rsid w:val="00D2727B"/>
    <w:rsid w:val="00D31254"/>
    <w:rsid w:val="00D41C50"/>
    <w:rsid w:val="00D42C09"/>
    <w:rsid w:val="00D50C39"/>
    <w:rsid w:val="00D54E67"/>
    <w:rsid w:val="00D8320B"/>
    <w:rsid w:val="00D90748"/>
    <w:rsid w:val="00DD62F6"/>
    <w:rsid w:val="00DE190C"/>
    <w:rsid w:val="00DE3F09"/>
    <w:rsid w:val="00DE573F"/>
    <w:rsid w:val="00DE6166"/>
    <w:rsid w:val="00DF1F2A"/>
    <w:rsid w:val="00E008D1"/>
    <w:rsid w:val="00E14DAB"/>
    <w:rsid w:val="00E223EE"/>
    <w:rsid w:val="00E46243"/>
    <w:rsid w:val="00E50C0F"/>
    <w:rsid w:val="00E5169C"/>
    <w:rsid w:val="00E66534"/>
    <w:rsid w:val="00E72F6C"/>
    <w:rsid w:val="00E81C98"/>
    <w:rsid w:val="00EA09F9"/>
    <w:rsid w:val="00EA74E4"/>
    <w:rsid w:val="00EB6E74"/>
    <w:rsid w:val="00EC23C7"/>
    <w:rsid w:val="00ED00B7"/>
    <w:rsid w:val="00EF44E6"/>
    <w:rsid w:val="00F056A7"/>
    <w:rsid w:val="00F24C96"/>
    <w:rsid w:val="00F32E26"/>
    <w:rsid w:val="00F42B67"/>
    <w:rsid w:val="00F464F0"/>
    <w:rsid w:val="00F72223"/>
    <w:rsid w:val="00F92F3D"/>
    <w:rsid w:val="00FA2196"/>
    <w:rsid w:val="00FA699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019">
      <w:bodyDiv w:val="1"/>
      <w:marLeft w:val="0"/>
      <w:marRight w:val="0"/>
      <w:marTop w:val="0"/>
      <w:marBottom w:val="0"/>
      <w:divBdr>
        <w:top w:val="none" w:sz="0" w:space="0" w:color="auto"/>
        <w:left w:val="none" w:sz="0" w:space="0" w:color="auto"/>
        <w:bottom w:val="none" w:sz="0" w:space="0" w:color="auto"/>
        <w:right w:val="none" w:sz="0" w:space="0" w:color="auto"/>
      </w:divBdr>
    </w:div>
    <w:div w:id="42145272">
      <w:bodyDiv w:val="1"/>
      <w:marLeft w:val="0"/>
      <w:marRight w:val="0"/>
      <w:marTop w:val="0"/>
      <w:marBottom w:val="0"/>
      <w:divBdr>
        <w:top w:val="none" w:sz="0" w:space="0" w:color="auto"/>
        <w:left w:val="none" w:sz="0" w:space="0" w:color="auto"/>
        <w:bottom w:val="none" w:sz="0" w:space="0" w:color="auto"/>
        <w:right w:val="none" w:sz="0" w:space="0" w:color="auto"/>
      </w:divBdr>
    </w:div>
    <w:div w:id="84693982">
      <w:bodyDiv w:val="1"/>
      <w:marLeft w:val="0"/>
      <w:marRight w:val="0"/>
      <w:marTop w:val="0"/>
      <w:marBottom w:val="0"/>
      <w:divBdr>
        <w:top w:val="none" w:sz="0" w:space="0" w:color="auto"/>
        <w:left w:val="none" w:sz="0" w:space="0" w:color="auto"/>
        <w:bottom w:val="none" w:sz="0" w:space="0" w:color="auto"/>
        <w:right w:val="none" w:sz="0" w:space="0" w:color="auto"/>
      </w:divBdr>
    </w:div>
    <w:div w:id="89474272">
      <w:bodyDiv w:val="1"/>
      <w:marLeft w:val="0"/>
      <w:marRight w:val="0"/>
      <w:marTop w:val="0"/>
      <w:marBottom w:val="0"/>
      <w:divBdr>
        <w:top w:val="none" w:sz="0" w:space="0" w:color="auto"/>
        <w:left w:val="none" w:sz="0" w:space="0" w:color="auto"/>
        <w:bottom w:val="none" w:sz="0" w:space="0" w:color="auto"/>
        <w:right w:val="none" w:sz="0" w:space="0" w:color="auto"/>
      </w:divBdr>
    </w:div>
    <w:div w:id="160313633">
      <w:bodyDiv w:val="1"/>
      <w:marLeft w:val="0"/>
      <w:marRight w:val="0"/>
      <w:marTop w:val="0"/>
      <w:marBottom w:val="0"/>
      <w:divBdr>
        <w:top w:val="none" w:sz="0" w:space="0" w:color="auto"/>
        <w:left w:val="none" w:sz="0" w:space="0" w:color="auto"/>
        <w:bottom w:val="none" w:sz="0" w:space="0" w:color="auto"/>
        <w:right w:val="none" w:sz="0" w:space="0" w:color="auto"/>
      </w:divBdr>
    </w:div>
    <w:div w:id="585265298">
      <w:bodyDiv w:val="1"/>
      <w:marLeft w:val="0"/>
      <w:marRight w:val="0"/>
      <w:marTop w:val="0"/>
      <w:marBottom w:val="0"/>
      <w:divBdr>
        <w:top w:val="none" w:sz="0" w:space="0" w:color="auto"/>
        <w:left w:val="none" w:sz="0" w:space="0" w:color="auto"/>
        <w:bottom w:val="none" w:sz="0" w:space="0" w:color="auto"/>
        <w:right w:val="none" w:sz="0" w:space="0" w:color="auto"/>
      </w:divBdr>
    </w:div>
    <w:div w:id="713582194">
      <w:bodyDiv w:val="1"/>
      <w:marLeft w:val="0"/>
      <w:marRight w:val="0"/>
      <w:marTop w:val="0"/>
      <w:marBottom w:val="0"/>
      <w:divBdr>
        <w:top w:val="none" w:sz="0" w:space="0" w:color="auto"/>
        <w:left w:val="none" w:sz="0" w:space="0" w:color="auto"/>
        <w:bottom w:val="none" w:sz="0" w:space="0" w:color="auto"/>
        <w:right w:val="none" w:sz="0" w:space="0" w:color="auto"/>
      </w:divBdr>
    </w:div>
    <w:div w:id="727533021">
      <w:bodyDiv w:val="1"/>
      <w:marLeft w:val="0"/>
      <w:marRight w:val="0"/>
      <w:marTop w:val="0"/>
      <w:marBottom w:val="0"/>
      <w:divBdr>
        <w:top w:val="none" w:sz="0" w:space="0" w:color="auto"/>
        <w:left w:val="none" w:sz="0" w:space="0" w:color="auto"/>
        <w:bottom w:val="none" w:sz="0" w:space="0" w:color="auto"/>
        <w:right w:val="none" w:sz="0" w:space="0" w:color="auto"/>
      </w:divBdr>
    </w:div>
    <w:div w:id="895824919">
      <w:bodyDiv w:val="1"/>
      <w:marLeft w:val="0"/>
      <w:marRight w:val="0"/>
      <w:marTop w:val="0"/>
      <w:marBottom w:val="0"/>
      <w:divBdr>
        <w:top w:val="none" w:sz="0" w:space="0" w:color="auto"/>
        <w:left w:val="none" w:sz="0" w:space="0" w:color="auto"/>
        <w:bottom w:val="none" w:sz="0" w:space="0" w:color="auto"/>
        <w:right w:val="none" w:sz="0" w:space="0" w:color="auto"/>
      </w:divBdr>
    </w:div>
    <w:div w:id="954672202">
      <w:bodyDiv w:val="1"/>
      <w:marLeft w:val="0"/>
      <w:marRight w:val="0"/>
      <w:marTop w:val="0"/>
      <w:marBottom w:val="0"/>
      <w:divBdr>
        <w:top w:val="none" w:sz="0" w:space="0" w:color="auto"/>
        <w:left w:val="none" w:sz="0" w:space="0" w:color="auto"/>
        <w:bottom w:val="none" w:sz="0" w:space="0" w:color="auto"/>
        <w:right w:val="none" w:sz="0" w:space="0" w:color="auto"/>
      </w:divBdr>
    </w:div>
    <w:div w:id="984429679">
      <w:bodyDiv w:val="1"/>
      <w:marLeft w:val="0"/>
      <w:marRight w:val="0"/>
      <w:marTop w:val="0"/>
      <w:marBottom w:val="0"/>
      <w:divBdr>
        <w:top w:val="none" w:sz="0" w:space="0" w:color="auto"/>
        <w:left w:val="none" w:sz="0" w:space="0" w:color="auto"/>
        <w:bottom w:val="none" w:sz="0" w:space="0" w:color="auto"/>
        <w:right w:val="none" w:sz="0" w:space="0" w:color="auto"/>
      </w:divBdr>
    </w:div>
    <w:div w:id="1075740619">
      <w:bodyDiv w:val="1"/>
      <w:marLeft w:val="0"/>
      <w:marRight w:val="0"/>
      <w:marTop w:val="0"/>
      <w:marBottom w:val="0"/>
      <w:divBdr>
        <w:top w:val="none" w:sz="0" w:space="0" w:color="auto"/>
        <w:left w:val="none" w:sz="0" w:space="0" w:color="auto"/>
        <w:bottom w:val="none" w:sz="0" w:space="0" w:color="auto"/>
        <w:right w:val="none" w:sz="0" w:space="0" w:color="auto"/>
      </w:divBdr>
    </w:div>
    <w:div w:id="1204094543">
      <w:bodyDiv w:val="1"/>
      <w:marLeft w:val="0"/>
      <w:marRight w:val="0"/>
      <w:marTop w:val="0"/>
      <w:marBottom w:val="0"/>
      <w:divBdr>
        <w:top w:val="none" w:sz="0" w:space="0" w:color="auto"/>
        <w:left w:val="none" w:sz="0" w:space="0" w:color="auto"/>
        <w:bottom w:val="none" w:sz="0" w:space="0" w:color="auto"/>
        <w:right w:val="none" w:sz="0" w:space="0" w:color="auto"/>
      </w:divBdr>
    </w:div>
    <w:div w:id="1230385525">
      <w:bodyDiv w:val="1"/>
      <w:marLeft w:val="0"/>
      <w:marRight w:val="0"/>
      <w:marTop w:val="0"/>
      <w:marBottom w:val="0"/>
      <w:divBdr>
        <w:top w:val="none" w:sz="0" w:space="0" w:color="auto"/>
        <w:left w:val="none" w:sz="0" w:space="0" w:color="auto"/>
        <w:bottom w:val="none" w:sz="0" w:space="0" w:color="auto"/>
        <w:right w:val="none" w:sz="0" w:space="0" w:color="auto"/>
      </w:divBdr>
    </w:div>
    <w:div w:id="1492522801">
      <w:bodyDiv w:val="1"/>
      <w:marLeft w:val="0"/>
      <w:marRight w:val="0"/>
      <w:marTop w:val="0"/>
      <w:marBottom w:val="0"/>
      <w:divBdr>
        <w:top w:val="none" w:sz="0" w:space="0" w:color="auto"/>
        <w:left w:val="none" w:sz="0" w:space="0" w:color="auto"/>
        <w:bottom w:val="none" w:sz="0" w:space="0" w:color="auto"/>
        <w:right w:val="none" w:sz="0" w:space="0" w:color="auto"/>
      </w:divBdr>
    </w:div>
    <w:div w:id="1530292726">
      <w:bodyDiv w:val="1"/>
      <w:marLeft w:val="0"/>
      <w:marRight w:val="0"/>
      <w:marTop w:val="0"/>
      <w:marBottom w:val="0"/>
      <w:divBdr>
        <w:top w:val="none" w:sz="0" w:space="0" w:color="auto"/>
        <w:left w:val="none" w:sz="0" w:space="0" w:color="auto"/>
        <w:bottom w:val="none" w:sz="0" w:space="0" w:color="auto"/>
        <w:right w:val="none" w:sz="0" w:space="0" w:color="auto"/>
      </w:divBdr>
    </w:div>
    <w:div w:id="1596016598">
      <w:bodyDiv w:val="1"/>
      <w:marLeft w:val="0"/>
      <w:marRight w:val="0"/>
      <w:marTop w:val="0"/>
      <w:marBottom w:val="0"/>
      <w:divBdr>
        <w:top w:val="none" w:sz="0" w:space="0" w:color="auto"/>
        <w:left w:val="none" w:sz="0" w:space="0" w:color="auto"/>
        <w:bottom w:val="none" w:sz="0" w:space="0" w:color="auto"/>
        <w:right w:val="none" w:sz="0" w:space="0" w:color="auto"/>
      </w:divBdr>
    </w:div>
    <w:div w:id="1672873880">
      <w:bodyDiv w:val="1"/>
      <w:marLeft w:val="0"/>
      <w:marRight w:val="0"/>
      <w:marTop w:val="0"/>
      <w:marBottom w:val="0"/>
      <w:divBdr>
        <w:top w:val="none" w:sz="0" w:space="0" w:color="auto"/>
        <w:left w:val="none" w:sz="0" w:space="0" w:color="auto"/>
        <w:bottom w:val="none" w:sz="0" w:space="0" w:color="auto"/>
        <w:right w:val="none" w:sz="0" w:space="0" w:color="auto"/>
      </w:divBdr>
    </w:div>
    <w:div w:id="1861698230">
      <w:bodyDiv w:val="1"/>
      <w:marLeft w:val="0"/>
      <w:marRight w:val="0"/>
      <w:marTop w:val="0"/>
      <w:marBottom w:val="0"/>
      <w:divBdr>
        <w:top w:val="none" w:sz="0" w:space="0" w:color="auto"/>
        <w:left w:val="none" w:sz="0" w:space="0" w:color="auto"/>
        <w:bottom w:val="none" w:sz="0" w:space="0" w:color="auto"/>
        <w:right w:val="none" w:sz="0" w:space="0" w:color="auto"/>
      </w:divBdr>
    </w:div>
    <w:div w:id="1895387360">
      <w:bodyDiv w:val="1"/>
      <w:marLeft w:val="0"/>
      <w:marRight w:val="0"/>
      <w:marTop w:val="0"/>
      <w:marBottom w:val="0"/>
      <w:divBdr>
        <w:top w:val="none" w:sz="0" w:space="0" w:color="auto"/>
        <w:left w:val="none" w:sz="0" w:space="0" w:color="auto"/>
        <w:bottom w:val="none" w:sz="0" w:space="0" w:color="auto"/>
        <w:right w:val="none" w:sz="0" w:space="0" w:color="auto"/>
      </w:divBdr>
    </w:div>
    <w:div w:id="1978535134">
      <w:bodyDiv w:val="1"/>
      <w:marLeft w:val="0"/>
      <w:marRight w:val="0"/>
      <w:marTop w:val="0"/>
      <w:marBottom w:val="0"/>
      <w:divBdr>
        <w:top w:val="none" w:sz="0" w:space="0" w:color="auto"/>
        <w:left w:val="none" w:sz="0" w:space="0" w:color="auto"/>
        <w:bottom w:val="none" w:sz="0" w:space="0" w:color="auto"/>
        <w:right w:val="none" w:sz="0" w:space="0" w:color="auto"/>
      </w:divBdr>
    </w:div>
    <w:div w:id="2078086414">
      <w:bodyDiv w:val="1"/>
      <w:marLeft w:val="0"/>
      <w:marRight w:val="0"/>
      <w:marTop w:val="0"/>
      <w:marBottom w:val="0"/>
      <w:divBdr>
        <w:top w:val="none" w:sz="0" w:space="0" w:color="auto"/>
        <w:left w:val="none" w:sz="0" w:space="0" w:color="auto"/>
        <w:bottom w:val="none" w:sz="0" w:space="0" w:color="auto"/>
        <w:right w:val="none" w:sz="0" w:space="0" w:color="auto"/>
      </w:divBdr>
    </w:div>
    <w:div w:id="213039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3851</Words>
  <Characters>21956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2025-02-17T12:50:00Z</dcterms:created>
  <dcterms:modified xsi:type="dcterms:W3CDTF">2025-02-17T12:50:00Z</dcterms:modified>
</cp:coreProperties>
</file>