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66DF8">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D899E5F" w:rsidR="00837F4F" w:rsidRPr="00D2449B" w:rsidRDefault="00FE1B37"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5B47AB5" w:rsidR="00837F4F" w:rsidRPr="00D2449B" w:rsidRDefault="00FE1B37" w:rsidP="00D2449B">
            <w:pPr>
              <w:jc w:val="center"/>
              <w:rPr>
                <w:rFonts w:ascii="Calibri" w:hAnsi="Calibri"/>
                <w:b/>
                <w:szCs w:val="22"/>
              </w:rPr>
            </w:pPr>
            <w:r>
              <w:rPr>
                <w:rFonts w:ascii="Calibri" w:hAnsi="Calibri"/>
                <w:b/>
                <w:szCs w:val="22"/>
              </w:rPr>
              <w:t>04/03/2025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52A3B39" w:rsidR="00837F4F" w:rsidRPr="00D2449B" w:rsidRDefault="0056050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3106A31" w:rsidR="00837F4F" w:rsidRPr="00D2449B" w:rsidRDefault="00560509" w:rsidP="00D2449B">
            <w:pPr>
              <w:jc w:val="center"/>
              <w:rPr>
                <w:rFonts w:ascii="Calibri" w:hAnsi="Calibri"/>
                <w:b/>
                <w:szCs w:val="22"/>
              </w:rPr>
            </w:pPr>
            <w:r>
              <w:rPr>
                <w:rFonts w:ascii="Calibri" w:hAnsi="Calibri"/>
                <w:b/>
                <w:szCs w:val="22"/>
              </w:rPr>
              <w:t>07/3/25</w:t>
            </w:r>
          </w:p>
        </w:tc>
      </w:tr>
      <w:tr w:rsidR="004A5EA9" w:rsidRPr="00D2449B" w14:paraId="2094A164" w14:textId="77777777" w:rsidTr="00166DF8">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66DF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25FB7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01A16">
              <w:rPr>
                <w:rFonts w:ascii="Calibri" w:hAnsi="Calibri"/>
                <w:szCs w:val="22"/>
              </w:rPr>
              <w:t>24/1031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66DF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E6E0B00" w:rsidR="00824DB6" w:rsidRPr="00C0704D" w:rsidRDefault="00201A16" w:rsidP="002C6277">
            <w:pPr>
              <w:rPr>
                <w:rFonts w:ascii="Calibri" w:hAnsi="Calibri"/>
                <w:szCs w:val="22"/>
              </w:rPr>
            </w:pPr>
            <w:r>
              <w:rPr>
                <w:rFonts w:ascii="Calibri" w:hAnsi="Calibri"/>
                <w:szCs w:val="22"/>
              </w:rPr>
              <w:t>12/03/2025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438FCE" w:rsidR="00824DB6" w:rsidRPr="00C0704D" w:rsidRDefault="00201A1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66DF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E250D5B" w:rsidR="004A5EA9" w:rsidRPr="00250879" w:rsidRDefault="00201A16"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66DF8">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166DF8">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66DF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343CF2" w:rsidR="004A5EA9" w:rsidRPr="002C6277" w:rsidRDefault="00201A16">
            <w:pPr>
              <w:rPr>
                <w:rFonts w:ascii="Calibri" w:hAnsi="Calibri"/>
                <w:szCs w:val="22"/>
              </w:rPr>
            </w:pPr>
            <w:r>
              <w:rPr>
                <w:rFonts w:ascii="Calibri" w:hAnsi="Calibri"/>
                <w:szCs w:val="22"/>
              </w:rPr>
              <w:t xml:space="preserve">Proposed raising of roof to accommodate a first-floor level including first floor extension over existing garage. Two storey side extension following demolition of existing single storey side extension, insertion of ten rooflights and additional glazed openings. </w:t>
            </w:r>
          </w:p>
        </w:tc>
      </w:tr>
      <w:tr w:rsidR="002A01CF" w:rsidRPr="00D2449B" w14:paraId="52988241" w14:textId="77777777" w:rsidTr="00166DF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BAFFCD" w:rsidR="002A01CF" w:rsidRPr="002C6277" w:rsidRDefault="00201A16" w:rsidP="00A42E82">
            <w:pPr>
              <w:rPr>
                <w:rFonts w:ascii="Calibri" w:hAnsi="Calibri"/>
                <w:szCs w:val="22"/>
              </w:rPr>
            </w:pPr>
            <w:proofErr w:type="spellStart"/>
            <w:r>
              <w:rPr>
                <w:rFonts w:ascii="Calibri" w:hAnsi="Calibri"/>
                <w:szCs w:val="22"/>
              </w:rPr>
              <w:t>Stanacroft</w:t>
            </w:r>
            <w:proofErr w:type="spellEnd"/>
            <w:r>
              <w:rPr>
                <w:rFonts w:ascii="Calibri" w:hAnsi="Calibri"/>
                <w:szCs w:val="22"/>
              </w:rPr>
              <w:t>, Leys Close, Wiswell BB7 9DA.</w:t>
            </w:r>
          </w:p>
        </w:tc>
      </w:tr>
      <w:tr w:rsidR="00A95D89" w:rsidRPr="00D2449B" w14:paraId="3FB99B2E" w14:textId="77777777" w:rsidTr="00166DF8">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66DF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411AE93" w:rsidR="002A01CF" w:rsidRPr="00D2449B" w:rsidRDefault="0099342B">
            <w:pPr>
              <w:rPr>
                <w:rFonts w:ascii="Calibri" w:hAnsi="Calibri"/>
                <w:b/>
                <w:szCs w:val="22"/>
              </w:rPr>
            </w:pPr>
            <w:r>
              <w:rPr>
                <w:rFonts w:ascii="Calibri" w:hAnsi="Calibri"/>
                <w:b/>
                <w:szCs w:val="22"/>
              </w:rPr>
              <w:t xml:space="preserve">No comments received. </w:t>
            </w:r>
          </w:p>
        </w:tc>
      </w:tr>
      <w:tr w:rsidR="00C618DB" w:rsidRPr="00D2449B" w14:paraId="639E958B" w14:textId="77777777" w:rsidTr="00166DF8">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66DF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66DF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7196AC6" w:rsidR="002A01CF" w:rsidRPr="00D2449B" w:rsidRDefault="0099342B">
            <w:pPr>
              <w:rPr>
                <w:rFonts w:ascii="Calibri" w:hAnsi="Calibri"/>
                <w:b/>
                <w:szCs w:val="22"/>
              </w:rPr>
            </w:pPr>
            <w:r>
              <w:rPr>
                <w:rFonts w:ascii="Calibri" w:hAnsi="Calibri"/>
                <w:b/>
                <w:szCs w:val="22"/>
              </w:rPr>
              <w:t xml:space="preserve">No objections. </w:t>
            </w:r>
          </w:p>
        </w:tc>
      </w:tr>
      <w:tr w:rsidR="00C0704D" w:rsidRPr="00D2449B" w14:paraId="62663AAF"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66DF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820782" w14:textId="77777777" w:rsidR="00D33A06" w:rsidRDefault="00D33A06" w:rsidP="00692B60">
            <w:pPr>
              <w:rPr>
                <w:rFonts w:ascii="Calibri" w:hAnsi="Calibri"/>
                <w:szCs w:val="22"/>
              </w:rPr>
            </w:pPr>
          </w:p>
          <w:p w14:paraId="3BF8F3D1" w14:textId="2B71D841" w:rsidR="00C0704D" w:rsidRDefault="0099342B" w:rsidP="00692B60">
            <w:pPr>
              <w:rPr>
                <w:rFonts w:ascii="Calibri" w:hAnsi="Calibri"/>
                <w:szCs w:val="22"/>
              </w:rPr>
            </w:pPr>
            <w:r>
              <w:rPr>
                <w:rFonts w:ascii="Calibri" w:hAnsi="Calibri"/>
                <w:szCs w:val="22"/>
              </w:rPr>
              <w:t>Two letters of representation have been received objecting to the proposal and raising the following concerns</w:t>
            </w:r>
            <w:r w:rsidR="00464851">
              <w:rPr>
                <w:rFonts w:ascii="Calibri" w:hAnsi="Calibri"/>
                <w:szCs w:val="22"/>
              </w:rPr>
              <w:t>.</w:t>
            </w:r>
          </w:p>
          <w:p w14:paraId="23853651" w14:textId="77777777" w:rsidR="00464851" w:rsidRDefault="00464851" w:rsidP="00692B60">
            <w:pPr>
              <w:rPr>
                <w:rFonts w:ascii="Calibri" w:hAnsi="Calibri"/>
                <w:szCs w:val="22"/>
              </w:rPr>
            </w:pPr>
          </w:p>
          <w:p w14:paraId="228435BB" w14:textId="2E500C05" w:rsidR="0099342B" w:rsidRDefault="00D33A06" w:rsidP="0099342B">
            <w:pPr>
              <w:pStyle w:val="ListParagraph"/>
              <w:numPr>
                <w:ilvl w:val="0"/>
                <w:numId w:val="3"/>
              </w:numPr>
              <w:rPr>
                <w:rFonts w:ascii="Calibri" w:hAnsi="Calibri"/>
                <w:szCs w:val="22"/>
              </w:rPr>
            </w:pPr>
            <w:r>
              <w:rPr>
                <w:rFonts w:ascii="Calibri" w:hAnsi="Calibri"/>
                <w:szCs w:val="22"/>
              </w:rPr>
              <w:t>D</w:t>
            </w:r>
            <w:r w:rsidR="0099342B">
              <w:rPr>
                <w:rFonts w:ascii="Calibri" w:hAnsi="Calibri"/>
                <w:szCs w:val="22"/>
              </w:rPr>
              <w:t>iscrepancies in the site plans.</w:t>
            </w:r>
          </w:p>
          <w:p w14:paraId="5F676664" w14:textId="71EC2F33" w:rsidR="0099342B" w:rsidRDefault="0099342B" w:rsidP="0099342B">
            <w:pPr>
              <w:pStyle w:val="ListParagraph"/>
              <w:numPr>
                <w:ilvl w:val="0"/>
                <w:numId w:val="3"/>
              </w:numPr>
              <w:rPr>
                <w:rFonts w:ascii="Calibri" w:hAnsi="Calibri"/>
                <w:szCs w:val="22"/>
              </w:rPr>
            </w:pPr>
            <w:r>
              <w:rPr>
                <w:rFonts w:ascii="Calibri" w:hAnsi="Calibri"/>
                <w:szCs w:val="22"/>
              </w:rPr>
              <w:t xml:space="preserve">Loss of light to habitable windows. </w:t>
            </w:r>
          </w:p>
          <w:p w14:paraId="15BE74F7" w14:textId="33B43CA2" w:rsidR="00BD429A" w:rsidRDefault="00BD429A" w:rsidP="0099342B">
            <w:pPr>
              <w:pStyle w:val="ListParagraph"/>
              <w:numPr>
                <w:ilvl w:val="0"/>
                <w:numId w:val="3"/>
              </w:numPr>
              <w:rPr>
                <w:rFonts w:ascii="Calibri" w:hAnsi="Calibri"/>
                <w:szCs w:val="22"/>
              </w:rPr>
            </w:pPr>
            <w:r>
              <w:rPr>
                <w:rFonts w:ascii="Calibri" w:hAnsi="Calibri"/>
                <w:szCs w:val="22"/>
              </w:rPr>
              <w:t xml:space="preserve">Loss of light to garden space. </w:t>
            </w:r>
          </w:p>
          <w:p w14:paraId="6AB58BD3" w14:textId="77777777" w:rsidR="0099342B" w:rsidRDefault="002A1508" w:rsidP="0099342B">
            <w:pPr>
              <w:pStyle w:val="ListParagraph"/>
              <w:numPr>
                <w:ilvl w:val="0"/>
                <w:numId w:val="3"/>
              </w:numPr>
              <w:rPr>
                <w:rFonts w:ascii="Calibri" w:hAnsi="Calibri"/>
                <w:szCs w:val="22"/>
              </w:rPr>
            </w:pPr>
            <w:r>
              <w:rPr>
                <w:rFonts w:ascii="Calibri" w:hAnsi="Calibri"/>
                <w:szCs w:val="22"/>
              </w:rPr>
              <w:t xml:space="preserve">Not site notice displayed and only 3 neighbours consulted via letter. </w:t>
            </w:r>
          </w:p>
          <w:p w14:paraId="30DE5C7B" w14:textId="6C85A7D4" w:rsidR="00BD429A" w:rsidRDefault="00BD429A" w:rsidP="0099342B">
            <w:pPr>
              <w:pStyle w:val="ListParagraph"/>
              <w:numPr>
                <w:ilvl w:val="0"/>
                <w:numId w:val="3"/>
              </w:numPr>
              <w:rPr>
                <w:rFonts w:ascii="Calibri" w:hAnsi="Calibri"/>
                <w:szCs w:val="22"/>
              </w:rPr>
            </w:pPr>
            <w:r>
              <w:rPr>
                <w:rFonts w:ascii="Calibri" w:hAnsi="Calibri"/>
                <w:szCs w:val="22"/>
              </w:rPr>
              <w:t>Detrimental impact on the character of the street scene.</w:t>
            </w:r>
          </w:p>
          <w:p w14:paraId="244D5AFF" w14:textId="77777777" w:rsidR="00BD429A" w:rsidRDefault="00BD429A" w:rsidP="0099342B">
            <w:pPr>
              <w:pStyle w:val="ListParagraph"/>
              <w:numPr>
                <w:ilvl w:val="0"/>
                <w:numId w:val="3"/>
              </w:numPr>
              <w:rPr>
                <w:rFonts w:ascii="Calibri" w:hAnsi="Calibri"/>
                <w:szCs w:val="22"/>
              </w:rPr>
            </w:pPr>
            <w:r>
              <w:rPr>
                <w:rFonts w:ascii="Calibri" w:hAnsi="Calibri"/>
                <w:szCs w:val="22"/>
              </w:rPr>
              <w:t xml:space="preserve">Sense of enclosure and overshadowing. </w:t>
            </w:r>
          </w:p>
          <w:p w14:paraId="76AA4ECF" w14:textId="192CDE64" w:rsidR="00BD429A" w:rsidRDefault="00BD429A" w:rsidP="0099342B">
            <w:pPr>
              <w:pStyle w:val="ListParagraph"/>
              <w:numPr>
                <w:ilvl w:val="0"/>
                <w:numId w:val="3"/>
              </w:numPr>
              <w:rPr>
                <w:rFonts w:ascii="Calibri" w:hAnsi="Calibri"/>
                <w:szCs w:val="22"/>
              </w:rPr>
            </w:pPr>
            <w:r>
              <w:rPr>
                <w:rFonts w:ascii="Calibri" w:hAnsi="Calibri"/>
                <w:szCs w:val="22"/>
              </w:rPr>
              <w:t xml:space="preserve">Choice of materials is considered unacceptable. </w:t>
            </w:r>
          </w:p>
          <w:p w14:paraId="22367D53" w14:textId="1A673DA2" w:rsidR="00BD429A" w:rsidRDefault="00BD429A" w:rsidP="0099342B">
            <w:pPr>
              <w:pStyle w:val="ListParagraph"/>
              <w:numPr>
                <w:ilvl w:val="0"/>
                <w:numId w:val="3"/>
              </w:numPr>
              <w:rPr>
                <w:rFonts w:ascii="Calibri" w:hAnsi="Calibri"/>
                <w:szCs w:val="22"/>
              </w:rPr>
            </w:pPr>
            <w:r>
              <w:rPr>
                <w:rFonts w:ascii="Calibri" w:hAnsi="Calibri"/>
                <w:szCs w:val="22"/>
              </w:rPr>
              <w:t xml:space="preserve">Unacceptable increase in massing. </w:t>
            </w:r>
          </w:p>
          <w:p w14:paraId="3D49DA26" w14:textId="6D797FA1" w:rsidR="00BD429A" w:rsidRDefault="00BD429A" w:rsidP="0099342B">
            <w:pPr>
              <w:pStyle w:val="ListParagraph"/>
              <w:numPr>
                <w:ilvl w:val="0"/>
                <w:numId w:val="3"/>
              </w:numPr>
              <w:rPr>
                <w:rFonts w:ascii="Calibri" w:hAnsi="Calibri"/>
                <w:szCs w:val="22"/>
              </w:rPr>
            </w:pPr>
            <w:r>
              <w:rPr>
                <w:rFonts w:ascii="Calibri" w:hAnsi="Calibri"/>
                <w:szCs w:val="22"/>
              </w:rPr>
              <w:t xml:space="preserve">Overdeveloped. </w:t>
            </w:r>
          </w:p>
          <w:p w14:paraId="7763046D" w14:textId="77777777" w:rsidR="00BD429A" w:rsidRDefault="00464851" w:rsidP="0099342B">
            <w:pPr>
              <w:pStyle w:val="ListParagraph"/>
              <w:numPr>
                <w:ilvl w:val="0"/>
                <w:numId w:val="3"/>
              </w:numPr>
              <w:rPr>
                <w:rFonts w:ascii="Calibri" w:hAnsi="Calibri"/>
                <w:szCs w:val="22"/>
              </w:rPr>
            </w:pPr>
            <w:r>
              <w:rPr>
                <w:rFonts w:ascii="Calibri" w:hAnsi="Calibri"/>
                <w:szCs w:val="22"/>
              </w:rPr>
              <w:t xml:space="preserve">Loss of privacy/overlooking into garden space. </w:t>
            </w:r>
          </w:p>
          <w:p w14:paraId="5D614302" w14:textId="77777777" w:rsidR="00464851" w:rsidRDefault="00464851" w:rsidP="00464851">
            <w:pPr>
              <w:pStyle w:val="ListParagraph"/>
              <w:rPr>
                <w:rFonts w:ascii="Calibri" w:hAnsi="Calibri"/>
                <w:szCs w:val="22"/>
              </w:rPr>
            </w:pPr>
          </w:p>
          <w:p w14:paraId="42F0D03F" w14:textId="454441A2" w:rsidR="00D33A06" w:rsidRDefault="00D33A06" w:rsidP="00D33A06">
            <w:pPr>
              <w:rPr>
                <w:rFonts w:ascii="Calibri" w:hAnsi="Calibri"/>
                <w:szCs w:val="22"/>
              </w:rPr>
            </w:pPr>
            <w:r>
              <w:rPr>
                <w:rFonts w:ascii="Calibri" w:hAnsi="Calibri"/>
                <w:szCs w:val="22"/>
              </w:rPr>
              <w:t>All adjoining neighbours were consulted by letter and a site notice was not</w:t>
            </w:r>
            <w:r w:rsidR="00560509">
              <w:rPr>
                <w:rFonts w:ascii="Calibri" w:hAnsi="Calibri"/>
                <w:szCs w:val="22"/>
              </w:rPr>
              <w:t xml:space="preserve"> deemed to be</w:t>
            </w:r>
            <w:r>
              <w:rPr>
                <w:rFonts w:ascii="Calibri" w:hAnsi="Calibri"/>
                <w:szCs w:val="22"/>
              </w:rPr>
              <w:t xml:space="preserve"> required in this instance. Following a site visit, it was not considered that the site p</w:t>
            </w:r>
            <w:r w:rsidR="00560509">
              <w:rPr>
                <w:rFonts w:ascii="Calibri" w:hAnsi="Calibri"/>
                <w:szCs w:val="22"/>
              </w:rPr>
              <w:t>l</w:t>
            </w:r>
            <w:r>
              <w:rPr>
                <w:rFonts w:ascii="Calibri" w:hAnsi="Calibri"/>
                <w:szCs w:val="22"/>
              </w:rPr>
              <w:t xml:space="preserve">ans were </w:t>
            </w:r>
            <w:r w:rsidR="00560509">
              <w:rPr>
                <w:rFonts w:ascii="Calibri" w:hAnsi="Calibri"/>
                <w:szCs w:val="22"/>
              </w:rPr>
              <w:t>materially</w:t>
            </w:r>
            <w:r>
              <w:rPr>
                <w:rFonts w:ascii="Calibri" w:hAnsi="Calibri"/>
                <w:szCs w:val="22"/>
              </w:rPr>
              <w:t xml:space="preserve"> incorrect and therefore no amended plans were requested.</w:t>
            </w:r>
            <w:r w:rsidR="00560509">
              <w:rPr>
                <w:rFonts w:ascii="Calibri" w:hAnsi="Calibri"/>
                <w:szCs w:val="22"/>
              </w:rPr>
              <w:t xml:space="preserve"> </w:t>
            </w:r>
            <w:r>
              <w:rPr>
                <w:rFonts w:ascii="Calibri" w:hAnsi="Calibri"/>
                <w:szCs w:val="22"/>
              </w:rPr>
              <w:t xml:space="preserve">The remainder of the planning issues raised have been addressed in the following report. </w:t>
            </w:r>
          </w:p>
          <w:p w14:paraId="581BB273" w14:textId="708ED63F" w:rsidR="00D33A06" w:rsidRPr="00D33A06" w:rsidRDefault="00D33A06" w:rsidP="00D33A06">
            <w:pPr>
              <w:rPr>
                <w:rFonts w:ascii="Calibri" w:hAnsi="Calibri"/>
                <w:szCs w:val="22"/>
              </w:rPr>
            </w:pPr>
          </w:p>
        </w:tc>
      </w:tr>
      <w:tr w:rsidR="00C0704D" w:rsidRPr="00D2449B" w14:paraId="1CDFA4C3" w14:textId="77777777" w:rsidTr="00166DF8">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23EE1033" w:rsidR="00992C6F" w:rsidRPr="00D2449B" w:rsidRDefault="00C0704D"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1CEB9147" w14:textId="77777777" w:rsidR="008542DE" w:rsidRDefault="00992C6F" w:rsidP="00C0704D">
            <w:pPr>
              <w:rPr>
                <w:rFonts w:ascii="Calibri" w:hAnsi="Calibri"/>
                <w:szCs w:val="22"/>
              </w:rPr>
            </w:pPr>
            <w:r w:rsidRPr="00C618DB">
              <w:rPr>
                <w:rFonts w:ascii="Calibri" w:hAnsi="Calibri"/>
                <w:szCs w:val="22"/>
              </w:rPr>
              <w:t>National Planning Policy Framework (NPPF)</w:t>
            </w:r>
          </w:p>
          <w:p w14:paraId="6C4C318E" w14:textId="059F82E7" w:rsidR="00D33A06" w:rsidRPr="00464851" w:rsidRDefault="00D33A06" w:rsidP="00C0704D">
            <w:pPr>
              <w:rPr>
                <w:rFonts w:ascii="Calibri" w:hAnsi="Calibri"/>
                <w:szCs w:val="22"/>
              </w:rPr>
            </w:pPr>
          </w:p>
        </w:tc>
      </w:tr>
      <w:tr w:rsidR="00C0704D" w:rsidRPr="00D2449B" w14:paraId="08181FD6"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0E12E4A3" w14:textId="68E874CA" w:rsidR="0046548C" w:rsidRPr="00645FB2" w:rsidRDefault="00F41F09" w:rsidP="00C0704D">
            <w:pPr>
              <w:pStyle w:val="PLANNING"/>
              <w:rPr>
                <w:rFonts w:ascii="Calibri" w:hAnsi="Calibri"/>
                <w:szCs w:val="22"/>
              </w:rPr>
            </w:pPr>
            <w:r w:rsidRPr="00F41F09">
              <w:rPr>
                <w:rFonts w:ascii="Calibri" w:hAnsi="Calibri"/>
                <w:b/>
                <w:bCs/>
                <w:szCs w:val="22"/>
              </w:rPr>
              <w:t>1</w:t>
            </w:r>
            <w:r w:rsidR="005D542B">
              <w:rPr>
                <w:rFonts w:ascii="Calibri" w:hAnsi="Calibri"/>
                <w:b/>
                <w:bCs/>
                <w:szCs w:val="22"/>
              </w:rPr>
              <w:t>9</w:t>
            </w:r>
            <w:r w:rsidRPr="00F41F09">
              <w:rPr>
                <w:rFonts w:ascii="Calibri" w:hAnsi="Calibri"/>
                <w:b/>
                <w:bCs/>
                <w:szCs w:val="22"/>
              </w:rPr>
              <w:t>99/0489</w:t>
            </w:r>
            <w:r>
              <w:rPr>
                <w:rFonts w:ascii="Calibri" w:hAnsi="Calibri"/>
                <w:szCs w:val="22"/>
              </w:rPr>
              <w:t>: A</w:t>
            </w:r>
            <w:r w:rsidRPr="00F41F09">
              <w:rPr>
                <w:rFonts w:ascii="Calibri" w:hAnsi="Calibri"/>
                <w:szCs w:val="22"/>
              </w:rPr>
              <w:t xml:space="preserve">lterations to provide new guest bedroom with </w:t>
            </w:r>
            <w:proofErr w:type="spellStart"/>
            <w:r w:rsidRPr="00F41F09">
              <w:rPr>
                <w:rFonts w:ascii="Calibri" w:hAnsi="Calibri"/>
                <w:szCs w:val="22"/>
              </w:rPr>
              <w:t>wc</w:t>
            </w:r>
            <w:proofErr w:type="spellEnd"/>
            <w:r w:rsidRPr="00F41F09">
              <w:rPr>
                <w:rFonts w:ascii="Calibri" w:hAnsi="Calibri"/>
                <w:szCs w:val="22"/>
              </w:rPr>
              <w:t xml:space="preserve"> over existing garage and utility area</w:t>
            </w:r>
            <w:r>
              <w:rPr>
                <w:rFonts w:ascii="Calibri" w:hAnsi="Calibri"/>
                <w:szCs w:val="22"/>
              </w:rPr>
              <w:t>. (refused</w:t>
            </w:r>
            <w:r w:rsidR="00131DB7">
              <w:rPr>
                <w:rFonts w:ascii="Calibri" w:hAnsi="Calibri"/>
                <w:szCs w:val="22"/>
              </w:rPr>
              <w:t xml:space="preserve"> – dismissed at appeal</w:t>
            </w:r>
            <w:r>
              <w:rPr>
                <w:rFonts w:ascii="Calibri" w:hAnsi="Calibri"/>
                <w:szCs w:val="22"/>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66DF8">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3DB6AFC" w14:textId="4DA973B5" w:rsidR="00C0704D" w:rsidRDefault="00537FC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0500EC">
              <w:rPr>
                <w:rFonts w:ascii="Calibri" w:hAnsi="Calibri"/>
                <w:bCs/>
                <w:szCs w:val="22"/>
              </w:rPr>
              <w:t>detached</w:t>
            </w:r>
            <w:r>
              <w:rPr>
                <w:rFonts w:ascii="Calibri" w:hAnsi="Calibri"/>
                <w:bCs/>
                <w:szCs w:val="22"/>
              </w:rPr>
              <w:t xml:space="preserve"> bungalow property hosting a co</w:t>
            </w:r>
            <w:r w:rsidR="000500EC">
              <w:rPr>
                <w:rFonts w:ascii="Calibri" w:hAnsi="Calibri"/>
                <w:bCs/>
                <w:szCs w:val="22"/>
              </w:rPr>
              <w:t>rner</w:t>
            </w:r>
            <w:r>
              <w:rPr>
                <w:rFonts w:ascii="Calibri" w:hAnsi="Calibri"/>
                <w:bCs/>
                <w:szCs w:val="22"/>
              </w:rPr>
              <w:t xml:space="preserve"> position on the junction of </w:t>
            </w:r>
            <w:r w:rsidR="000500EC">
              <w:rPr>
                <w:rFonts w:ascii="Calibri" w:hAnsi="Calibri"/>
                <w:bCs/>
                <w:szCs w:val="22"/>
              </w:rPr>
              <w:t xml:space="preserve">Leys Close with Pendleton Road. The application site itself is not on any designated land and the surrounding area is predominantly residential in nature. </w:t>
            </w:r>
          </w:p>
          <w:p w14:paraId="62370E9F" w14:textId="1BBA20B5" w:rsidR="000500EC" w:rsidRPr="006C2BFA" w:rsidRDefault="000500EC"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B10D1C2" w14:textId="27D39EE7" w:rsidR="00C0704D" w:rsidRDefault="001811A7" w:rsidP="002F2580">
            <w:pPr>
              <w:rPr>
                <w:rFonts w:ascii="Calibri" w:hAnsi="Calibri"/>
                <w:szCs w:val="22"/>
              </w:rPr>
            </w:pPr>
            <w:r>
              <w:rPr>
                <w:rFonts w:ascii="Calibri" w:hAnsi="Calibri"/>
                <w:szCs w:val="22"/>
              </w:rPr>
              <w:t xml:space="preserve">Consent is sought for </w:t>
            </w:r>
            <w:proofErr w:type="gramStart"/>
            <w:r>
              <w:rPr>
                <w:rFonts w:ascii="Calibri" w:hAnsi="Calibri"/>
                <w:szCs w:val="22"/>
              </w:rPr>
              <w:t>a number of</w:t>
            </w:r>
            <w:proofErr w:type="gramEnd"/>
            <w:r>
              <w:rPr>
                <w:rFonts w:ascii="Calibri" w:hAnsi="Calibri"/>
                <w:szCs w:val="22"/>
              </w:rPr>
              <w:t xml:space="preserve"> extensions and alterations, as listed below</w:t>
            </w:r>
          </w:p>
          <w:p w14:paraId="43D1971E" w14:textId="77777777" w:rsidR="00645FB2" w:rsidRDefault="00645FB2" w:rsidP="002F2580">
            <w:pPr>
              <w:rPr>
                <w:rFonts w:ascii="Calibri" w:hAnsi="Calibri"/>
                <w:szCs w:val="22"/>
              </w:rPr>
            </w:pPr>
          </w:p>
          <w:p w14:paraId="36FFB220" w14:textId="7C83D4C3" w:rsidR="001811A7" w:rsidRDefault="001811A7" w:rsidP="001811A7">
            <w:pPr>
              <w:pStyle w:val="ListParagraph"/>
              <w:numPr>
                <w:ilvl w:val="0"/>
                <w:numId w:val="2"/>
              </w:numPr>
              <w:rPr>
                <w:rFonts w:ascii="Calibri" w:hAnsi="Calibri"/>
                <w:szCs w:val="22"/>
              </w:rPr>
            </w:pPr>
            <w:r>
              <w:rPr>
                <w:rFonts w:ascii="Calibri" w:hAnsi="Calibri"/>
                <w:szCs w:val="22"/>
              </w:rPr>
              <w:t xml:space="preserve">First floor extension across the entire dwelling, comprising a substantial roof lift. </w:t>
            </w:r>
          </w:p>
          <w:p w14:paraId="72CEB458" w14:textId="2035F308" w:rsidR="001811A7" w:rsidRDefault="001811A7" w:rsidP="001811A7">
            <w:pPr>
              <w:pStyle w:val="ListParagraph"/>
              <w:numPr>
                <w:ilvl w:val="0"/>
                <w:numId w:val="2"/>
              </w:numPr>
              <w:rPr>
                <w:rFonts w:ascii="Calibri" w:hAnsi="Calibri"/>
                <w:szCs w:val="22"/>
              </w:rPr>
            </w:pPr>
            <w:r>
              <w:rPr>
                <w:rFonts w:ascii="Calibri" w:hAnsi="Calibri"/>
                <w:szCs w:val="22"/>
              </w:rPr>
              <w:t xml:space="preserve">Two-storey side extension following demolition of the existing conservatory. </w:t>
            </w:r>
          </w:p>
          <w:p w14:paraId="7F72A1FA" w14:textId="77777777" w:rsidR="001811A7" w:rsidRDefault="001811A7" w:rsidP="001811A7">
            <w:pPr>
              <w:pStyle w:val="ListParagraph"/>
              <w:numPr>
                <w:ilvl w:val="0"/>
                <w:numId w:val="2"/>
              </w:numPr>
              <w:rPr>
                <w:rFonts w:ascii="Calibri" w:hAnsi="Calibri"/>
                <w:szCs w:val="22"/>
              </w:rPr>
            </w:pPr>
            <w:r>
              <w:rPr>
                <w:rFonts w:ascii="Calibri" w:hAnsi="Calibri"/>
                <w:szCs w:val="22"/>
              </w:rPr>
              <w:t xml:space="preserve">First floor extension above existing attached garage, taking existing flat roof to a pitched roof. </w:t>
            </w:r>
          </w:p>
          <w:p w14:paraId="1B20488F" w14:textId="16B16223" w:rsidR="001811A7" w:rsidRPr="001811A7" w:rsidRDefault="001811A7" w:rsidP="001811A7">
            <w:pPr>
              <w:ind w:left="360"/>
              <w:rPr>
                <w:rFonts w:ascii="Calibri" w:hAnsi="Calibri"/>
                <w:szCs w:val="22"/>
              </w:rPr>
            </w:pPr>
          </w:p>
        </w:tc>
      </w:tr>
      <w:tr w:rsidR="00C0704D" w:rsidRPr="00D2449B" w14:paraId="617768FF"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6CD6514" w14:textId="41BF70A8" w:rsidR="00CA4CC4" w:rsidRPr="00CA4CC4" w:rsidRDefault="00CA4CC4" w:rsidP="00EA09F9">
            <w:pPr>
              <w:pStyle w:val="Header"/>
              <w:tabs>
                <w:tab w:val="clear" w:pos="4153"/>
                <w:tab w:val="clear" w:pos="8306"/>
              </w:tabs>
              <w:contextualSpacing/>
              <w:jc w:val="both"/>
              <w:rPr>
                <w:rFonts w:ascii="Calibri" w:hAnsi="Calibri"/>
                <w:bCs/>
                <w:szCs w:val="22"/>
              </w:rPr>
            </w:pPr>
            <w:r w:rsidRPr="00CA4CC4">
              <w:rPr>
                <w:rFonts w:ascii="Calibri" w:hAnsi="Calibri"/>
                <w:bCs/>
                <w:szCs w:val="22"/>
              </w:rPr>
              <w:t xml:space="preserve">Policy DMG1 of the Ribble Valley Core strategy stipulates in relation to amenity that development must </w:t>
            </w:r>
          </w:p>
          <w:p w14:paraId="43E0D7B5" w14:textId="77777777" w:rsidR="00CA4CC4" w:rsidRPr="00CA4CC4" w:rsidRDefault="00CA4CC4" w:rsidP="00EA09F9">
            <w:pPr>
              <w:pStyle w:val="Header"/>
              <w:tabs>
                <w:tab w:val="clear" w:pos="4153"/>
                <w:tab w:val="clear" w:pos="8306"/>
              </w:tabs>
              <w:contextualSpacing/>
              <w:jc w:val="both"/>
              <w:rPr>
                <w:rFonts w:ascii="Calibri" w:hAnsi="Calibri"/>
                <w:bCs/>
                <w:szCs w:val="22"/>
              </w:rPr>
            </w:pPr>
          </w:p>
          <w:p w14:paraId="506A4F63" w14:textId="47D0F3CA" w:rsidR="00CA4CC4" w:rsidRPr="00CA4CC4" w:rsidRDefault="00166DF8" w:rsidP="00EA09F9">
            <w:pPr>
              <w:pStyle w:val="Header"/>
              <w:tabs>
                <w:tab w:val="clear" w:pos="4153"/>
                <w:tab w:val="clear" w:pos="8306"/>
              </w:tabs>
              <w:contextualSpacing/>
              <w:jc w:val="both"/>
              <w:rPr>
                <w:rFonts w:ascii="Calibri" w:hAnsi="Calibri"/>
                <w:bCs/>
                <w:i/>
                <w:iCs/>
                <w:szCs w:val="22"/>
              </w:rPr>
            </w:pPr>
            <w:r w:rsidRPr="00CA4CC4">
              <w:rPr>
                <w:rFonts w:ascii="Calibri" w:hAnsi="Calibri"/>
                <w:bCs/>
                <w:i/>
                <w:iCs/>
                <w:szCs w:val="22"/>
              </w:rPr>
              <w:t xml:space="preserve">1. Not adversely affect the amenities of the surrounding area. </w:t>
            </w:r>
          </w:p>
          <w:p w14:paraId="1D302262" w14:textId="54C0DF84" w:rsidR="00CA4CC4" w:rsidRPr="00CA4CC4" w:rsidRDefault="00166DF8" w:rsidP="00EA09F9">
            <w:pPr>
              <w:pStyle w:val="Header"/>
              <w:tabs>
                <w:tab w:val="clear" w:pos="4153"/>
                <w:tab w:val="clear" w:pos="8306"/>
              </w:tabs>
              <w:contextualSpacing/>
              <w:jc w:val="both"/>
              <w:rPr>
                <w:rFonts w:ascii="Calibri" w:hAnsi="Calibri"/>
                <w:bCs/>
                <w:i/>
                <w:iCs/>
                <w:szCs w:val="22"/>
              </w:rPr>
            </w:pPr>
            <w:r w:rsidRPr="00CA4CC4">
              <w:rPr>
                <w:rFonts w:ascii="Calibri" w:hAnsi="Calibri"/>
                <w:bCs/>
                <w:i/>
                <w:iCs/>
                <w:szCs w:val="22"/>
              </w:rPr>
              <w:t>2. Provide adequate day lighting and privacy distances.</w:t>
            </w:r>
          </w:p>
          <w:p w14:paraId="19ED63E5" w14:textId="77777777" w:rsidR="00CA4CC4" w:rsidRDefault="00CA4CC4" w:rsidP="00EA09F9">
            <w:pPr>
              <w:pStyle w:val="Header"/>
              <w:tabs>
                <w:tab w:val="clear" w:pos="4153"/>
                <w:tab w:val="clear" w:pos="8306"/>
              </w:tabs>
              <w:contextualSpacing/>
              <w:jc w:val="both"/>
              <w:rPr>
                <w:rFonts w:ascii="Calibri" w:hAnsi="Calibri"/>
                <w:b/>
                <w:szCs w:val="22"/>
              </w:rPr>
            </w:pPr>
          </w:p>
          <w:p w14:paraId="33C335BA" w14:textId="356AFA76" w:rsidR="00ED00B7" w:rsidRDefault="00105003" w:rsidP="00C0704D">
            <w:pPr>
              <w:contextualSpacing/>
              <w:rPr>
                <w:rFonts w:ascii="Calibri" w:hAnsi="Calibri"/>
                <w:szCs w:val="22"/>
              </w:rPr>
            </w:pPr>
            <w:r>
              <w:rPr>
                <w:rFonts w:ascii="Calibri" w:hAnsi="Calibri"/>
                <w:szCs w:val="22"/>
              </w:rPr>
              <w:t xml:space="preserve">The application dwelling has two immediately adjacent neighbours known as Hollybank and 1 Leys Close. </w:t>
            </w:r>
            <w:r w:rsidR="00CD6F52">
              <w:rPr>
                <w:rFonts w:ascii="Calibri" w:hAnsi="Calibri"/>
                <w:szCs w:val="22"/>
              </w:rPr>
              <w:t>It is proposed that, by virtue of an additional storey, the roof of the application dwelling will be lifted. The main body of the roof, which currently measures approximately 5.6m in height to the ridge, will measure approximately 7.4m in height to the ridge. It is also proposed that an additional storey will be erected above the attached flat roof garage, the overall height will be increased from approximately 2.</w:t>
            </w:r>
            <w:r w:rsidR="00892F31">
              <w:rPr>
                <w:rFonts w:ascii="Calibri" w:hAnsi="Calibri"/>
                <w:szCs w:val="22"/>
              </w:rPr>
              <w:t>7</w:t>
            </w:r>
            <w:r w:rsidR="00CD6F52">
              <w:rPr>
                <w:rFonts w:ascii="Calibri" w:hAnsi="Calibri"/>
                <w:szCs w:val="22"/>
              </w:rPr>
              <w:t xml:space="preserve">m in height to 6.05m to the ridge. These are substantial increases, with the garage </w:t>
            </w:r>
            <w:proofErr w:type="gramStart"/>
            <w:r w:rsidR="00CD6F52">
              <w:rPr>
                <w:rFonts w:ascii="Calibri" w:hAnsi="Calibri"/>
                <w:szCs w:val="22"/>
              </w:rPr>
              <w:t>in particular more</w:t>
            </w:r>
            <w:proofErr w:type="gramEnd"/>
            <w:r w:rsidR="00CD6F52">
              <w:rPr>
                <w:rFonts w:ascii="Calibri" w:hAnsi="Calibri"/>
                <w:szCs w:val="22"/>
              </w:rPr>
              <w:t xml:space="preserve"> than doubling its existing height. </w:t>
            </w:r>
          </w:p>
          <w:p w14:paraId="4F145EBA" w14:textId="77777777" w:rsidR="00CD6F52" w:rsidRDefault="00CD6F52" w:rsidP="00C0704D">
            <w:pPr>
              <w:contextualSpacing/>
              <w:rPr>
                <w:rFonts w:ascii="Calibri" w:hAnsi="Calibri"/>
                <w:szCs w:val="22"/>
              </w:rPr>
            </w:pPr>
          </w:p>
          <w:p w14:paraId="5EB3913B" w14:textId="349C51C8" w:rsidR="00CD6F52" w:rsidRDefault="00CD6F52" w:rsidP="00C0704D">
            <w:pPr>
              <w:contextualSpacing/>
              <w:rPr>
                <w:rFonts w:ascii="Calibri" w:hAnsi="Calibri"/>
                <w:szCs w:val="22"/>
              </w:rPr>
            </w:pPr>
            <w:r>
              <w:rPr>
                <w:rFonts w:ascii="Calibri" w:hAnsi="Calibri"/>
                <w:szCs w:val="22"/>
              </w:rPr>
              <w:t>Hollybank is located to the rear (north-east) of the application property. If the proposed roof lift were to be implemented, it would result in a substantial loss of light to private amenity space and sense of overbearing for the receptors at Hollybank. The rear curtilage, and most private/useable parcel of garden at Hollybank, is located immediately to the rear of the garage structure at the application dwelling.</w:t>
            </w:r>
            <w:r w:rsidR="00B52434">
              <w:rPr>
                <w:rFonts w:ascii="Calibri" w:hAnsi="Calibri"/>
                <w:szCs w:val="22"/>
              </w:rPr>
              <w:t xml:space="preserve"> </w:t>
            </w:r>
            <w:r w:rsidR="00892F31">
              <w:rPr>
                <w:rFonts w:ascii="Calibri" w:hAnsi="Calibri"/>
                <w:szCs w:val="22"/>
              </w:rPr>
              <w:t xml:space="preserve">The new garage roof, which will feature a height increase of approximately 3.35m to the ridge, will significantly impact the level of light afforded to this private amenity space to an unacceptable degree. </w:t>
            </w:r>
            <w:r w:rsidR="00B52434">
              <w:rPr>
                <w:rFonts w:ascii="Calibri" w:hAnsi="Calibri"/>
                <w:szCs w:val="22"/>
              </w:rPr>
              <w:t xml:space="preserve">There is also potential for a degree of light to be lost to habitable rooms at Hollybank. There is a set of glazed doors on the rear elevation of </w:t>
            </w:r>
            <w:r w:rsidR="00892F31">
              <w:rPr>
                <w:rFonts w:ascii="Calibri" w:hAnsi="Calibri"/>
                <w:szCs w:val="22"/>
              </w:rPr>
              <w:t>Hollybank</w:t>
            </w:r>
            <w:r w:rsidR="00B52434">
              <w:rPr>
                <w:rFonts w:ascii="Calibri" w:hAnsi="Calibri"/>
                <w:szCs w:val="22"/>
              </w:rPr>
              <w:t xml:space="preserve"> that serve the living room, </w:t>
            </w:r>
            <w:r w:rsidR="00892F31">
              <w:rPr>
                <w:rFonts w:ascii="Calibri" w:hAnsi="Calibri"/>
                <w:szCs w:val="22"/>
              </w:rPr>
              <w:t>the new garage roof would likely inflict a loss of light to this room.</w:t>
            </w:r>
            <w:r>
              <w:rPr>
                <w:rFonts w:ascii="Calibri" w:hAnsi="Calibri"/>
                <w:szCs w:val="22"/>
              </w:rPr>
              <w:t xml:space="preserve"> Therefore, any increase in height </w:t>
            </w:r>
            <w:r w:rsidR="00892F31">
              <w:rPr>
                <w:rFonts w:ascii="Calibri" w:hAnsi="Calibri"/>
                <w:szCs w:val="22"/>
              </w:rPr>
              <w:t xml:space="preserve">of the application dwelling, particularly the garage, </w:t>
            </w:r>
            <w:r>
              <w:rPr>
                <w:rFonts w:ascii="Calibri" w:hAnsi="Calibri"/>
                <w:szCs w:val="22"/>
              </w:rPr>
              <w:t xml:space="preserve">would have </w:t>
            </w:r>
            <w:r w:rsidR="002C0A51">
              <w:rPr>
                <w:rFonts w:ascii="Calibri" w:hAnsi="Calibri"/>
                <w:szCs w:val="22"/>
              </w:rPr>
              <w:t xml:space="preserve">an </w:t>
            </w:r>
            <w:r>
              <w:rPr>
                <w:rFonts w:ascii="Calibri" w:hAnsi="Calibri"/>
                <w:szCs w:val="22"/>
              </w:rPr>
              <w:lastRenderedPageBreak/>
              <w:t xml:space="preserve">unacceptable adverse impact on </w:t>
            </w:r>
            <w:r w:rsidR="00560509">
              <w:rPr>
                <w:rFonts w:ascii="Calibri" w:hAnsi="Calibri"/>
                <w:szCs w:val="22"/>
              </w:rPr>
              <w:t xml:space="preserve">the </w:t>
            </w:r>
            <w:r>
              <w:rPr>
                <w:rFonts w:ascii="Calibri" w:hAnsi="Calibri"/>
                <w:szCs w:val="22"/>
              </w:rPr>
              <w:t>residential amenity</w:t>
            </w:r>
            <w:r w:rsidR="00560509">
              <w:rPr>
                <w:rFonts w:ascii="Calibri" w:hAnsi="Calibri"/>
                <w:szCs w:val="22"/>
              </w:rPr>
              <w:t xml:space="preserve"> of this property</w:t>
            </w:r>
            <w:r>
              <w:rPr>
                <w:rFonts w:ascii="Calibri" w:hAnsi="Calibri"/>
                <w:szCs w:val="22"/>
              </w:rPr>
              <w:t xml:space="preserve">, particularly taking into consideration the south-westerly facing orientation of the garden at Hollybank. </w:t>
            </w:r>
          </w:p>
          <w:p w14:paraId="6143FDCA" w14:textId="77777777" w:rsidR="00BD429A" w:rsidRDefault="00BD429A" w:rsidP="00C0704D">
            <w:pPr>
              <w:contextualSpacing/>
              <w:rPr>
                <w:rFonts w:ascii="Calibri" w:hAnsi="Calibri"/>
                <w:szCs w:val="22"/>
              </w:rPr>
            </w:pPr>
          </w:p>
          <w:p w14:paraId="35E888D5" w14:textId="505DB39A" w:rsidR="00BD429A" w:rsidRDefault="00BD429A" w:rsidP="00C0704D">
            <w:pPr>
              <w:contextualSpacing/>
              <w:rPr>
                <w:rFonts w:ascii="Calibri" w:hAnsi="Calibri"/>
                <w:szCs w:val="22"/>
              </w:rPr>
            </w:pPr>
            <w:r>
              <w:rPr>
                <w:rFonts w:ascii="Calibri" w:hAnsi="Calibri"/>
                <w:szCs w:val="22"/>
              </w:rPr>
              <w:t xml:space="preserve">It is noted that there are concerns of the proposed new glazed openings on the north-west elevation of the application dwelling at first floor as it </w:t>
            </w:r>
            <w:r w:rsidR="00464851">
              <w:rPr>
                <w:rFonts w:ascii="Calibri" w:hAnsi="Calibri"/>
                <w:szCs w:val="22"/>
              </w:rPr>
              <w:t>is</w:t>
            </w:r>
            <w:r>
              <w:rPr>
                <w:rFonts w:ascii="Calibri" w:hAnsi="Calibri"/>
                <w:szCs w:val="22"/>
              </w:rPr>
              <w:t xml:space="preserve"> deemed there is potential for </w:t>
            </w:r>
            <w:r w:rsidR="00464851">
              <w:rPr>
                <w:rFonts w:ascii="Calibri" w:hAnsi="Calibri"/>
                <w:szCs w:val="22"/>
              </w:rPr>
              <w:t>overlooking</w:t>
            </w:r>
            <w:r>
              <w:rPr>
                <w:rFonts w:ascii="Calibri" w:hAnsi="Calibri"/>
                <w:szCs w:val="22"/>
              </w:rPr>
              <w:t xml:space="preserve"> into the front garden of Hollybank. </w:t>
            </w:r>
            <w:r w:rsidR="00464851">
              <w:rPr>
                <w:rFonts w:ascii="Calibri" w:hAnsi="Calibri"/>
                <w:szCs w:val="22"/>
              </w:rPr>
              <w:t xml:space="preserve">It is recognised that there may be a slight increase in the perception of overlooking for the receptors of Hollybank. However, given the parcel of garden is located to the front of the curtilage and adjacent to the driveway, it is not considered that this area benefits </w:t>
            </w:r>
            <w:r w:rsidR="00560509">
              <w:rPr>
                <w:rFonts w:ascii="Calibri" w:hAnsi="Calibri"/>
                <w:szCs w:val="22"/>
              </w:rPr>
              <w:t>from</w:t>
            </w:r>
            <w:r w:rsidR="00464851">
              <w:rPr>
                <w:rFonts w:ascii="Calibri" w:hAnsi="Calibri"/>
                <w:szCs w:val="22"/>
              </w:rPr>
              <w:t xml:space="preserve"> complete privacy as existing, Therefore, this alone would not warrant refusal. There are also concerns </w:t>
            </w:r>
            <w:r w:rsidR="00131DB7">
              <w:rPr>
                <w:rFonts w:ascii="Calibri" w:hAnsi="Calibri"/>
                <w:szCs w:val="22"/>
              </w:rPr>
              <w:t xml:space="preserve">raised </w:t>
            </w:r>
            <w:r w:rsidR="00464851">
              <w:rPr>
                <w:rFonts w:ascii="Calibri" w:hAnsi="Calibri"/>
                <w:szCs w:val="22"/>
              </w:rPr>
              <w:t>that the rooflight</w:t>
            </w:r>
            <w:r w:rsidR="00131DB7">
              <w:rPr>
                <w:rFonts w:ascii="Calibri" w:hAnsi="Calibri"/>
                <w:szCs w:val="22"/>
              </w:rPr>
              <w:t>s</w:t>
            </w:r>
            <w:r w:rsidR="00464851">
              <w:rPr>
                <w:rFonts w:ascii="Calibri" w:hAnsi="Calibri"/>
                <w:szCs w:val="22"/>
              </w:rPr>
              <w:t xml:space="preserve"> on the rear roof slope could create new opportunity for overlooking</w:t>
            </w:r>
            <w:r w:rsidR="00131DB7">
              <w:rPr>
                <w:rFonts w:ascii="Calibri" w:hAnsi="Calibri"/>
                <w:szCs w:val="22"/>
              </w:rPr>
              <w:t>,</w:t>
            </w:r>
            <w:r w:rsidR="00464851">
              <w:rPr>
                <w:rFonts w:ascii="Calibri" w:hAnsi="Calibri"/>
                <w:szCs w:val="22"/>
              </w:rPr>
              <w:t xml:space="preserve"> this could be dealt with via an appropriate planning condition requesting obscure </w:t>
            </w:r>
            <w:proofErr w:type="gramStart"/>
            <w:r w:rsidR="00464851">
              <w:rPr>
                <w:rFonts w:ascii="Calibri" w:hAnsi="Calibri"/>
                <w:szCs w:val="22"/>
              </w:rPr>
              <w:t>glazing, and</w:t>
            </w:r>
            <w:proofErr w:type="gramEnd"/>
            <w:r w:rsidR="00464851">
              <w:rPr>
                <w:rFonts w:ascii="Calibri" w:hAnsi="Calibri"/>
                <w:szCs w:val="22"/>
              </w:rPr>
              <w:t xml:space="preserve"> would therefore not warrant refusal. </w:t>
            </w:r>
          </w:p>
          <w:p w14:paraId="466533CF" w14:textId="77777777" w:rsidR="002C0A51" w:rsidRDefault="002C0A51" w:rsidP="00C0704D">
            <w:pPr>
              <w:contextualSpacing/>
              <w:rPr>
                <w:rFonts w:ascii="Calibri" w:hAnsi="Calibri"/>
                <w:szCs w:val="22"/>
              </w:rPr>
            </w:pPr>
          </w:p>
          <w:p w14:paraId="3C6C6434" w14:textId="4FC971DF" w:rsidR="002C0A51" w:rsidRDefault="004F2A01" w:rsidP="00C0704D">
            <w:pPr>
              <w:contextualSpacing/>
              <w:rPr>
                <w:rFonts w:ascii="Calibri" w:hAnsi="Calibri"/>
                <w:szCs w:val="22"/>
              </w:rPr>
            </w:pPr>
            <w:r>
              <w:rPr>
                <w:rFonts w:ascii="Calibri" w:hAnsi="Calibri"/>
                <w:szCs w:val="22"/>
              </w:rPr>
              <w:t xml:space="preserve">No.1 Leys Close is located to the east of the application property, where the existing garage structure lies adjacent to the adjoining shared boundary. As such, following the proposed roof lift, there will be a degree of light lost for the windows on the western elevation of No.1 Leys Close. However, given these windows are secondary, and the habitable </w:t>
            </w:r>
            <w:r w:rsidR="001D7915">
              <w:rPr>
                <w:rFonts w:ascii="Calibri" w:hAnsi="Calibri"/>
                <w:szCs w:val="22"/>
              </w:rPr>
              <w:t>rooms</w:t>
            </w:r>
            <w:r>
              <w:rPr>
                <w:rFonts w:ascii="Calibri" w:hAnsi="Calibri"/>
                <w:szCs w:val="22"/>
              </w:rPr>
              <w:t xml:space="preserve"> they serve benefit from a dual aspect arrangement, it is not considered this alone would warrant refusal. Light would still be afforded via the windows on the principal</w:t>
            </w:r>
            <w:r w:rsidR="00131DB7">
              <w:rPr>
                <w:rFonts w:ascii="Calibri" w:hAnsi="Calibri"/>
                <w:szCs w:val="22"/>
              </w:rPr>
              <w:t xml:space="preserve"> and rear</w:t>
            </w:r>
            <w:r>
              <w:rPr>
                <w:rFonts w:ascii="Calibri" w:hAnsi="Calibri"/>
                <w:szCs w:val="22"/>
              </w:rPr>
              <w:t xml:space="preserve"> elevation of the neighbouring dwelling. </w:t>
            </w:r>
          </w:p>
          <w:p w14:paraId="128AAB28" w14:textId="77777777" w:rsidR="001D7915" w:rsidRDefault="001D7915" w:rsidP="00C0704D">
            <w:pPr>
              <w:contextualSpacing/>
              <w:rPr>
                <w:rFonts w:ascii="Calibri" w:hAnsi="Calibri"/>
                <w:szCs w:val="22"/>
              </w:rPr>
            </w:pPr>
          </w:p>
          <w:p w14:paraId="73FCC985" w14:textId="2AC4AC6E" w:rsidR="001D7915" w:rsidRDefault="009A0581" w:rsidP="00C0704D">
            <w:pPr>
              <w:contextualSpacing/>
              <w:rPr>
                <w:rFonts w:ascii="Calibri" w:hAnsi="Calibri"/>
                <w:szCs w:val="22"/>
              </w:rPr>
            </w:pPr>
            <w:r>
              <w:rPr>
                <w:rFonts w:ascii="Calibri" w:hAnsi="Calibri"/>
                <w:szCs w:val="22"/>
              </w:rPr>
              <w:t>Base</w:t>
            </w:r>
            <w:r w:rsidR="00166DF8">
              <w:rPr>
                <w:rFonts w:ascii="Calibri" w:hAnsi="Calibri"/>
                <w:szCs w:val="22"/>
              </w:rPr>
              <w:t xml:space="preserve">d </w:t>
            </w:r>
            <w:r>
              <w:rPr>
                <w:rFonts w:ascii="Calibri" w:hAnsi="Calibri"/>
                <w:szCs w:val="22"/>
              </w:rPr>
              <w:t xml:space="preserve">on the above observations, the </w:t>
            </w:r>
            <w:r w:rsidR="00166DF8">
              <w:rPr>
                <w:rFonts w:ascii="Calibri" w:hAnsi="Calibri"/>
                <w:szCs w:val="22"/>
              </w:rPr>
              <w:t>proposed</w:t>
            </w:r>
            <w:r>
              <w:rPr>
                <w:rFonts w:ascii="Calibri" w:hAnsi="Calibri"/>
                <w:szCs w:val="22"/>
              </w:rPr>
              <w:t xml:space="preserve"> development would result in unacceptable harm by virtue of the substantial increase in height and subsequent loss of light and sense of overbearing for neighbouring receptors. Contrary to polices DMG1 and DMH5 of the Ribble Valley Core Strategy</w:t>
            </w:r>
            <w:r w:rsidR="00046EDA">
              <w:rPr>
                <w:rFonts w:ascii="Calibri" w:hAnsi="Calibri"/>
                <w:szCs w:val="22"/>
              </w:rPr>
              <w:t xml:space="preserve">. </w:t>
            </w:r>
          </w:p>
          <w:p w14:paraId="0DB485A3" w14:textId="61BB3F06" w:rsidR="009A0581" w:rsidRPr="00C0704D" w:rsidRDefault="009A0581" w:rsidP="00C0704D">
            <w:pPr>
              <w:contextualSpacing/>
              <w:rPr>
                <w:rFonts w:ascii="Calibri" w:hAnsi="Calibri"/>
                <w:szCs w:val="22"/>
              </w:rPr>
            </w:pPr>
          </w:p>
        </w:tc>
      </w:tr>
      <w:tr w:rsidR="00C0704D" w:rsidRPr="00D2449B" w14:paraId="6754C065"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D5F3271" w14:textId="23E4693D" w:rsidR="00CA4CC4" w:rsidRDefault="00CA4CC4" w:rsidP="00CA4CC4">
            <w:pPr>
              <w:pStyle w:val="Header"/>
              <w:tabs>
                <w:tab w:val="left" w:pos="720"/>
              </w:tabs>
              <w:jc w:val="both"/>
              <w:rPr>
                <w:rFonts w:asciiTheme="minorHAnsi" w:hAnsiTheme="minorHAnsi" w:cstheme="minorHAnsi"/>
              </w:rPr>
            </w:pPr>
            <w:r>
              <w:rPr>
                <w:rFonts w:asciiTheme="minorHAnsi" w:hAnsiTheme="minorHAnsi" w:cstheme="minorHAnsi"/>
              </w:rPr>
              <w:t xml:space="preserve">Policy DMG1 of the RVCS states that development </w:t>
            </w:r>
            <w:proofErr w:type="gramStart"/>
            <w:r>
              <w:rPr>
                <w:rFonts w:asciiTheme="minorHAnsi" w:hAnsiTheme="minorHAnsi" w:cstheme="minorHAnsi"/>
              </w:rPr>
              <w:t>must</w:t>
            </w:r>
            <w:r w:rsidR="00560509">
              <w:rPr>
                <w:rFonts w:asciiTheme="minorHAnsi" w:hAnsiTheme="minorHAnsi" w:cstheme="minorHAnsi"/>
              </w:rPr>
              <w:t>:-</w:t>
            </w:r>
            <w:proofErr w:type="gramEnd"/>
          </w:p>
          <w:p w14:paraId="781F0B63" w14:textId="77777777" w:rsidR="00CA4CC4" w:rsidRDefault="00CA4CC4" w:rsidP="00CA4CC4">
            <w:pPr>
              <w:pStyle w:val="Header"/>
              <w:tabs>
                <w:tab w:val="left" w:pos="720"/>
              </w:tabs>
              <w:jc w:val="both"/>
              <w:rPr>
                <w:rFonts w:asciiTheme="minorHAnsi" w:hAnsiTheme="minorHAnsi" w:cstheme="minorHAnsi"/>
              </w:rPr>
            </w:pPr>
          </w:p>
          <w:p w14:paraId="5A04DC5C" w14:textId="77777777" w:rsidR="00CA4CC4" w:rsidRPr="00CA4CC4" w:rsidRDefault="00CA4CC4" w:rsidP="00CA4CC4">
            <w:pPr>
              <w:jc w:val="both"/>
              <w:rPr>
                <w:rFonts w:asciiTheme="minorHAnsi" w:hAnsiTheme="minorHAnsi" w:cstheme="minorHAnsi"/>
                <w:i/>
                <w:iCs/>
              </w:rPr>
            </w:pPr>
            <w:r w:rsidRPr="00CA4CC4">
              <w:rPr>
                <w:rFonts w:asciiTheme="minorHAnsi" w:hAnsiTheme="minorHAnsi" w:cstheme="minorHAnsi"/>
                <w:i/>
                <w:iCs/>
              </w:rPr>
              <w:t xml:space="preserve">1. Be of a high standard of building design which considers the 8 building in context principles (from the </w:t>
            </w:r>
            <w:proofErr w:type="spellStart"/>
            <w:r w:rsidRPr="00CA4CC4">
              <w:rPr>
                <w:rFonts w:asciiTheme="minorHAnsi" w:hAnsiTheme="minorHAnsi" w:cstheme="minorHAnsi"/>
                <w:i/>
                <w:iCs/>
              </w:rPr>
              <w:t>cabe</w:t>
            </w:r>
            <w:proofErr w:type="spellEnd"/>
            <w:r w:rsidRPr="00CA4CC4">
              <w:rPr>
                <w:rFonts w:asciiTheme="minorHAnsi" w:hAnsiTheme="minorHAnsi" w:cstheme="minorHAnsi"/>
                <w:i/>
                <w:iCs/>
              </w:rPr>
              <w:t xml:space="preserve">/English heritage building on context toolkit. </w:t>
            </w:r>
          </w:p>
          <w:p w14:paraId="078697F5" w14:textId="77777777" w:rsidR="00CA4CC4" w:rsidRPr="00CA4CC4" w:rsidRDefault="00CA4CC4" w:rsidP="00CA4CC4">
            <w:pPr>
              <w:jc w:val="both"/>
              <w:rPr>
                <w:rFonts w:asciiTheme="minorHAnsi" w:hAnsiTheme="minorHAnsi" w:cstheme="minorHAnsi"/>
                <w:i/>
                <w:iCs/>
              </w:rPr>
            </w:pPr>
            <w:r w:rsidRPr="00CA4CC4">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1AA26DA0" w14:textId="717088B3" w:rsidR="00CA4CC4" w:rsidRPr="00CA4CC4" w:rsidRDefault="00CA4CC4" w:rsidP="00CA4CC4">
            <w:pPr>
              <w:jc w:val="both"/>
              <w:rPr>
                <w:rFonts w:cstheme="minorHAnsi"/>
                <w:i/>
                <w:iCs/>
              </w:rPr>
            </w:pPr>
            <w:r w:rsidRPr="00CA4CC4">
              <w:rPr>
                <w:rFonts w:asciiTheme="minorHAnsi" w:hAnsiTheme="minorHAnsi" w:cstheme="minorHAnsi"/>
                <w:i/>
                <w:iCs/>
              </w:rPr>
              <w:t xml:space="preserve">3. Consider the density, layout and relationship between buildings, which is of major importance. </w:t>
            </w:r>
            <w:proofErr w:type="gramStart"/>
            <w:r w:rsidRPr="00CA4CC4">
              <w:rPr>
                <w:rFonts w:asciiTheme="minorHAnsi" w:hAnsiTheme="minorHAnsi" w:cstheme="minorHAnsi"/>
                <w:i/>
                <w:iCs/>
              </w:rPr>
              <w:t>Particular emphasis</w:t>
            </w:r>
            <w:proofErr w:type="gramEnd"/>
            <w:r w:rsidRPr="00CA4CC4">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r>
              <w:rPr>
                <w:rFonts w:cstheme="minorHAnsi"/>
                <w:i/>
                <w:iCs/>
              </w:rPr>
              <w:t>.</w:t>
            </w:r>
          </w:p>
          <w:p w14:paraId="10141465" w14:textId="77777777" w:rsidR="00CA4CC4" w:rsidRDefault="00CA4CC4" w:rsidP="00EA09F9">
            <w:pPr>
              <w:pStyle w:val="Header"/>
              <w:tabs>
                <w:tab w:val="clear" w:pos="4153"/>
                <w:tab w:val="clear" w:pos="8306"/>
              </w:tabs>
              <w:contextualSpacing/>
              <w:jc w:val="both"/>
              <w:rPr>
                <w:rFonts w:ascii="Calibri" w:hAnsi="Calibri"/>
                <w:b/>
                <w:szCs w:val="22"/>
              </w:rPr>
            </w:pPr>
          </w:p>
          <w:p w14:paraId="3BE9E39F" w14:textId="4E53ACF3" w:rsidR="00C0704D" w:rsidRDefault="0073130C" w:rsidP="005E1C6C">
            <w:pPr>
              <w:contextualSpacing/>
              <w:rPr>
                <w:rFonts w:ascii="Calibri" w:hAnsi="Calibri"/>
                <w:bCs/>
                <w:szCs w:val="22"/>
              </w:rPr>
            </w:pPr>
            <w:r w:rsidRPr="0073130C">
              <w:rPr>
                <w:rFonts w:ascii="Calibri" w:hAnsi="Calibri"/>
                <w:bCs/>
                <w:szCs w:val="22"/>
              </w:rPr>
              <w:t xml:space="preserve">The application dwelling hosts a visually prominent position within the street scene, accommodating a corner position on the junction of </w:t>
            </w:r>
            <w:r w:rsidR="00D33A06">
              <w:rPr>
                <w:rFonts w:ascii="Calibri" w:hAnsi="Calibri"/>
                <w:bCs/>
                <w:szCs w:val="22"/>
              </w:rPr>
              <w:t>L</w:t>
            </w:r>
            <w:r w:rsidRPr="0073130C">
              <w:rPr>
                <w:rFonts w:ascii="Calibri" w:hAnsi="Calibri"/>
                <w:bCs/>
                <w:szCs w:val="22"/>
              </w:rPr>
              <w:t>ey</w:t>
            </w:r>
            <w:r w:rsidR="00892F31">
              <w:rPr>
                <w:rFonts w:ascii="Calibri" w:hAnsi="Calibri"/>
                <w:bCs/>
                <w:szCs w:val="22"/>
              </w:rPr>
              <w:t>s Clos</w:t>
            </w:r>
            <w:r w:rsidRPr="0073130C">
              <w:rPr>
                <w:rFonts w:ascii="Calibri" w:hAnsi="Calibri"/>
                <w:bCs/>
                <w:szCs w:val="22"/>
              </w:rPr>
              <w:t xml:space="preserve">e with Pendleton Road. As such, careful consideration must be given into the impact of the proposed development on the character of the area. </w:t>
            </w:r>
          </w:p>
          <w:p w14:paraId="537C215D" w14:textId="77777777" w:rsidR="00B422C9" w:rsidRDefault="00B422C9" w:rsidP="005E1C6C">
            <w:pPr>
              <w:contextualSpacing/>
              <w:rPr>
                <w:rFonts w:ascii="Calibri" w:hAnsi="Calibri"/>
                <w:bCs/>
                <w:szCs w:val="22"/>
              </w:rPr>
            </w:pPr>
          </w:p>
          <w:p w14:paraId="3E9F8D41" w14:textId="68A4292F" w:rsidR="00B422C9" w:rsidRDefault="00B422C9" w:rsidP="005E1C6C">
            <w:pPr>
              <w:contextualSpacing/>
              <w:rPr>
                <w:rFonts w:ascii="Calibri" w:hAnsi="Calibri"/>
                <w:bCs/>
                <w:szCs w:val="22"/>
              </w:rPr>
            </w:pPr>
            <w:r>
              <w:rPr>
                <w:rFonts w:ascii="Calibri" w:hAnsi="Calibri"/>
                <w:bCs/>
                <w:szCs w:val="22"/>
              </w:rPr>
              <w:t>The existing dwelling is a bungalow, it is proposed that the roof will be substantially lifted to accommodate a first floor. This first floor will extend across the entire dwelling, inclusive of the attached garage. It is also proposed that a two-storey extension will be erect</w:t>
            </w:r>
            <w:r w:rsidR="00D33A06">
              <w:rPr>
                <w:rFonts w:ascii="Calibri" w:hAnsi="Calibri"/>
                <w:bCs/>
                <w:szCs w:val="22"/>
              </w:rPr>
              <w:t>ed</w:t>
            </w:r>
            <w:r>
              <w:rPr>
                <w:rFonts w:ascii="Calibri" w:hAnsi="Calibri"/>
                <w:bCs/>
                <w:szCs w:val="22"/>
              </w:rPr>
              <w:t xml:space="preserve"> in replacement of the existing single storey conservatory in the western side elevation. </w:t>
            </w:r>
            <w:r w:rsidR="00892F31">
              <w:rPr>
                <w:rFonts w:ascii="Calibri" w:hAnsi="Calibri"/>
                <w:bCs/>
                <w:szCs w:val="22"/>
              </w:rPr>
              <w:t xml:space="preserve">Whilst the proposal would result in a substantial increase in the amount of built form, given there are varying styles of dwelling in the area, many benefiting from two -storeys, it is not considered the development would be an anomalous addition to the </w:t>
            </w:r>
            <w:r w:rsidR="0099342B">
              <w:rPr>
                <w:rFonts w:ascii="Calibri" w:hAnsi="Calibri"/>
                <w:bCs/>
                <w:szCs w:val="22"/>
              </w:rPr>
              <w:t>street scene</w:t>
            </w:r>
            <w:r w:rsidR="00892F31">
              <w:rPr>
                <w:rFonts w:ascii="Calibri" w:hAnsi="Calibri"/>
                <w:bCs/>
                <w:szCs w:val="22"/>
              </w:rPr>
              <w:t xml:space="preserve">. </w:t>
            </w:r>
          </w:p>
          <w:p w14:paraId="6F441DFC" w14:textId="77777777" w:rsidR="00F41F09" w:rsidRDefault="00F41F09" w:rsidP="005E1C6C">
            <w:pPr>
              <w:contextualSpacing/>
              <w:rPr>
                <w:rFonts w:ascii="Calibri" w:hAnsi="Calibri"/>
                <w:bCs/>
                <w:szCs w:val="22"/>
              </w:rPr>
            </w:pPr>
          </w:p>
          <w:p w14:paraId="0169D128" w14:textId="77777777" w:rsidR="0073130C" w:rsidRDefault="0073130C" w:rsidP="005E1C6C">
            <w:pPr>
              <w:contextualSpacing/>
              <w:rPr>
                <w:rFonts w:ascii="Calibri" w:hAnsi="Calibri"/>
                <w:bCs/>
                <w:szCs w:val="22"/>
              </w:rPr>
            </w:pPr>
            <w:r>
              <w:rPr>
                <w:rFonts w:ascii="Calibri" w:hAnsi="Calibri"/>
                <w:bCs/>
                <w:szCs w:val="22"/>
              </w:rPr>
              <w:t xml:space="preserve">In respect to materials, the dwelling will be faced in render to the elevations, with large sections of contemporary glazing and concrete rooftiles. Whilst the overall appearance of the dwelling as proposed would be more contemporary in style, several properties in the vicinity have been modernised in a similar manor. As such, it is not considered the proposal will read as out of character within the street scene in respect to overall design and materials. </w:t>
            </w:r>
          </w:p>
          <w:p w14:paraId="10A3648A" w14:textId="45CA66F8" w:rsidR="009A0581" w:rsidRPr="0073130C" w:rsidRDefault="009A0581" w:rsidP="005E1C6C">
            <w:pPr>
              <w:contextualSpacing/>
              <w:rPr>
                <w:rFonts w:ascii="Calibri" w:hAnsi="Calibri"/>
                <w:bCs/>
                <w:szCs w:val="22"/>
              </w:rPr>
            </w:pPr>
          </w:p>
        </w:tc>
      </w:tr>
      <w:tr w:rsidR="00824DB6" w:rsidRPr="00D2449B" w14:paraId="673C0DDB"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1486B45" w14:textId="4D2DAF01" w:rsidR="00824DB6" w:rsidRPr="00831319" w:rsidRDefault="00831319" w:rsidP="00EA09F9">
            <w:pPr>
              <w:pStyle w:val="Header"/>
              <w:tabs>
                <w:tab w:val="clear" w:pos="4153"/>
                <w:tab w:val="clear" w:pos="8306"/>
              </w:tabs>
              <w:contextualSpacing/>
              <w:jc w:val="both"/>
              <w:rPr>
                <w:rFonts w:ascii="Calibri" w:hAnsi="Calibri"/>
                <w:bCs/>
                <w:szCs w:val="22"/>
              </w:rPr>
            </w:pPr>
            <w:r w:rsidRPr="00831319">
              <w:rPr>
                <w:rFonts w:ascii="Calibri" w:hAnsi="Calibri"/>
                <w:bCs/>
                <w:szCs w:val="22"/>
              </w:rPr>
              <w:lastRenderedPageBreak/>
              <w:t xml:space="preserve">LCC Highways were consulted in relation to the proposed development and raised no objection on highway safety or amenity grounds. </w:t>
            </w:r>
          </w:p>
          <w:p w14:paraId="337694ED" w14:textId="1F5FBD37" w:rsidR="00831319" w:rsidRDefault="0083131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3CF32B8" w14:textId="77777777" w:rsidR="00C0704D" w:rsidRPr="00B52434" w:rsidRDefault="009A0581" w:rsidP="00E46243">
            <w:pPr>
              <w:contextualSpacing/>
              <w:rPr>
                <w:rFonts w:ascii="Calibri" w:hAnsi="Calibri"/>
                <w:bCs/>
                <w:szCs w:val="22"/>
                <w:u w:val="single"/>
              </w:rPr>
            </w:pPr>
            <w:r w:rsidRPr="00B52434">
              <w:rPr>
                <w:rFonts w:ascii="Calibri" w:hAnsi="Calibri"/>
                <w:bCs/>
                <w:szCs w:val="22"/>
                <w:u w:val="single"/>
              </w:rPr>
              <w:t>Biodiversity.</w:t>
            </w:r>
          </w:p>
          <w:p w14:paraId="5BBED1DB" w14:textId="77777777" w:rsidR="00B52434" w:rsidRDefault="00B52434" w:rsidP="00E46243">
            <w:pPr>
              <w:contextualSpacing/>
              <w:rPr>
                <w:rFonts w:ascii="Calibri" w:hAnsi="Calibri"/>
                <w:b/>
                <w:szCs w:val="22"/>
              </w:rPr>
            </w:pPr>
          </w:p>
          <w:p w14:paraId="1D508EE8" w14:textId="4D77FE3D" w:rsidR="00B52434" w:rsidRPr="00B52434" w:rsidRDefault="00B52434" w:rsidP="00E46243">
            <w:pPr>
              <w:contextualSpacing/>
              <w:rPr>
                <w:rFonts w:ascii="Calibri" w:hAnsi="Calibri"/>
                <w:bCs/>
                <w:szCs w:val="22"/>
              </w:rPr>
            </w:pPr>
            <w:r w:rsidRPr="00B52434">
              <w:rPr>
                <w:rFonts w:ascii="Calibri" w:hAnsi="Calibri"/>
                <w:bCs/>
                <w:szCs w:val="22"/>
              </w:rPr>
              <w:t>The development is exempt from having to achieve the mandatory Biodiversity Net Gain requirement as it is a householder application.</w:t>
            </w:r>
          </w:p>
          <w:p w14:paraId="49C78828" w14:textId="77777777" w:rsidR="009A0581" w:rsidRDefault="009A0581" w:rsidP="00E46243">
            <w:pPr>
              <w:contextualSpacing/>
              <w:rPr>
                <w:rFonts w:ascii="Calibri" w:hAnsi="Calibri"/>
                <w:b/>
                <w:szCs w:val="22"/>
              </w:rPr>
            </w:pPr>
          </w:p>
          <w:p w14:paraId="23B0CC32" w14:textId="77777777" w:rsidR="009A0581" w:rsidRPr="00B52434" w:rsidRDefault="009A0581" w:rsidP="00E46243">
            <w:pPr>
              <w:contextualSpacing/>
              <w:rPr>
                <w:rFonts w:ascii="Calibri" w:hAnsi="Calibri"/>
                <w:bCs/>
                <w:szCs w:val="22"/>
                <w:u w:val="single"/>
              </w:rPr>
            </w:pPr>
            <w:r w:rsidRPr="00B52434">
              <w:rPr>
                <w:rFonts w:ascii="Calibri" w:hAnsi="Calibri"/>
                <w:bCs/>
                <w:szCs w:val="22"/>
                <w:u w:val="single"/>
              </w:rPr>
              <w:t xml:space="preserve">Bats. </w:t>
            </w:r>
          </w:p>
          <w:p w14:paraId="35ED478C" w14:textId="77777777" w:rsidR="00B52434" w:rsidRDefault="00B52434" w:rsidP="00E46243">
            <w:pPr>
              <w:contextualSpacing/>
              <w:rPr>
                <w:rFonts w:ascii="Calibri" w:hAnsi="Calibri"/>
                <w:b/>
                <w:szCs w:val="22"/>
              </w:rPr>
            </w:pPr>
          </w:p>
          <w:p w14:paraId="6DBA3603" w14:textId="3378397A" w:rsidR="00B52434" w:rsidRPr="00B52434" w:rsidRDefault="00B52434" w:rsidP="00B52434">
            <w:pPr>
              <w:contextualSpacing/>
              <w:rPr>
                <w:rFonts w:ascii="Calibri" w:hAnsi="Calibri"/>
                <w:szCs w:val="22"/>
              </w:rPr>
            </w:pPr>
            <w:r w:rsidRPr="00B52434">
              <w:rPr>
                <w:rFonts w:ascii="Calibri" w:hAnsi="Calibri"/>
                <w:szCs w:val="22"/>
              </w:rPr>
              <w:t xml:space="preserve">A preliminary bat roost assessment was carried out at the application site on 05.12.2024. The survey concluded that no evidence of bats was recorded, and the building offers negligible roosting potential. However, it is considered that there is an opportunity to boosting roosting potential via the installation of artificial bat boxes. </w:t>
            </w:r>
          </w:p>
          <w:p w14:paraId="6337C4D8" w14:textId="02271A25" w:rsidR="00B52434" w:rsidRDefault="00B52434" w:rsidP="00E46243">
            <w:pPr>
              <w:contextualSpacing/>
              <w:rPr>
                <w:rFonts w:ascii="Calibri" w:hAnsi="Calibri"/>
                <w:b/>
                <w:szCs w:val="22"/>
              </w:rPr>
            </w:pPr>
          </w:p>
        </w:tc>
      </w:tr>
      <w:tr w:rsidR="00C0704D" w:rsidRPr="00D2449B" w14:paraId="0A9D02B4"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66DF8">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66DF8">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166DF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30A84A01" w:rsidR="009F4443" w:rsidRPr="009F4443" w:rsidRDefault="00166DF8" w:rsidP="00CD2CEF">
            <w:pPr>
              <w:rPr>
                <w:rFonts w:asciiTheme="minorHAnsi" w:hAnsiTheme="minorHAnsi"/>
                <w:bCs/>
                <w:szCs w:val="22"/>
              </w:rPr>
            </w:pPr>
            <w:r>
              <w:rPr>
                <w:rFonts w:ascii="Calibri" w:hAnsi="Calibri"/>
                <w:szCs w:val="22"/>
              </w:rPr>
              <w:t>The proposed development would result in unacceptable harm for neighbouring receptors</w:t>
            </w:r>
            <w:r w:rsidR="00B52434">
              <w:rPr>
                <w:rFonts w:ascii="Calibri" w:hAnsi="Calibri"/>
                <w:szCs w:val="22"/>
              </w:rPr>
              <w:t xml:space="preserve"> to the north-east</w:t>
            </w:r>
            <w:r>
              <w:rPr>
                <w:rFonts w:ascii="Calibri" w:hAnsi="Calibri"/>
                <w:szCs w:val="22"/>
              </w:rPr>
              <w:t xml:space="preserve"> by virtue of the substantial increase in roof height and subsequent loss of light and sense of overbearing created resultant. </w:t>
            </w:r>
            <w:r w:rsidR="00560509">
              <w:rPr>
                <w:rFonts w:ascii="Calibri" w:hAnsi="Calibri"/>
                <w:szCs w:val="22"/>
              </w:rPr>
              <w:t>This is c</w:t>
            </w:r>
            <w:r>
              <w:rPr>
                <w:rFonts w:ascii="Calibri" w:hAnsi="Calibri"/>
                <w:szCs w:val="22"/>
              </w:rPr>
              <w:t>ontrary to polices DMG1 and DMH5 of the Ribble Valley Core Strategy.</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D68B4"/>
    <w:multiLevelType w:val="hybridMultilevel"/>
    <w:tmpl w:val="9F38A7C8"/>
    <w:lvl w:ilvl="0" w:tplc="A314AA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C7F05"/>
    <w:multiLevelType w:val="hybridMultilevel"/>
    <w:tmpl w:val="B306A554"/>
    <w:lvl w:ilvl="0" w:tplc="35C4FA0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2016226698">
    <w:abstractNumId w:val="0"/>
  </w:num>
  <w:num w:numId="3" w16cid:durableId="15703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EDA"/>
    <w:rsid w:val="000500EC"/>
    <w:rsid w:val="000A2040"/>
    <w:rsid w:val="000B5CB5"/>
    <w:rsid w:val="00105003"/>
    <w:rsid w:val="00130035"/>
    <w:rsid w:val="00131DB7"/>
    <w:rsid w:val="00166DF8"/>
    <w:rsid w:val="001811A7"/>
    <w:rsid w:val="001D4F7A"/>
    <w:rsid w:val="001D625C"/>
    <w:rsid w:val="001D7915"/>
    <w:rsid w:val="00201A16"/>
    <w:rsid w:val="00250879"/>
    <w:rsid w:val="0029334A"/>
    <w:rsid w:val="002A01CF"/>
    <w:rsid w:val="002A06C2"/>
    <w:rsid w:val="002A1508"/>
    <w:rsid w:val="002C0A51"/>
    <w:rsid w:val="002C6277"/>
    <w:rsid w:val="002F2580"/>
    <w:rsid w:val="00321B6E"/>
    <w:rsid w:val="00440CB6"/>
    <w:rsid w:val="00464851"/>
    <w:rsid w:val="0046548C"/>
    <w:rsid w:val="004947BB"/>
    <w:rsid w:val="004A5EA9"/>
    <w:rsid w:val="004C2434"/>
    <w:rsid w:val="004F0649"/>
    <w:rsid w:val="004F2A01"/>
    <w:rsid w:val="00510FA2"/>
    <w:rsid w:val="00537FC6"/>
    <w:rsid w:val="00556ECD"/>
    <w:rsid w:val="00560509"/>
    <w:rsid w:val="005D542B"/>
    <w:rsid w:val="005E1C6C"/>
    <w:rsid w:val="005E65DF"/>
    <w:rsid w:val="00616F9B"/>
    <w:rsid w:val="00645FB2"/>
    <w:rsid w:val="00692B60"/>
    <w:rsid w:val="006A71AD"/>
    <w:rsid w:val="006C2BFA"/>
    <w:rsid w:val="006F6849"/>
    <w:rsid w:val="0070054B"/>
    <w:rsid w:val="0073130C"/>
    <w:rsid w:val="00773A66"/>
    <w:rsid w:val="00776AE2"/>
    <w:rsid w:val="007C791C"/>
    <w:rsid w:val="007D7DF4"/>
    <w:rsid w:val="007E0D23"/>
    <w:rsid w:val="007F16D6"/>
    <w:rsid w:val="00811771"/>
    <w:rsid w:val="00824DB6"/>
    <w:rsid w:val="00831319"/>
    <w:rsid w:val="00837F4F"/>
    <w:rsid w:val="008542DE"/>
    <w:rsid w:val="00872C52"/>
    <w:rsid w:val="00892F31"/>
    <w:rsid w:val="008A28C8"/>
    <w:rsid w:val="00992C6F"/>
    <w:rsid w:val="0099342B"/>
    <w:rsid w:val="009A0581"/>
    <w:rsid w:val="009F4443"/>
    <w:rsid w:val="00A42E82"/>
    <w:rsid w:val="00A579BB"/>
    <w:rsid w:val="00A63D55"/>
    <w:rsid w:val="00A95D89"/>
    <w:rsid w:val="00AF2C00"/>
    <w:rsid w:val="00B37E01"/>
    <w:rsid w:val="00B422C9"/>
    <w:rsid w:val="00B4289C"/>
    <w:rsid w:val="00B52434"/>
    <w:rsid w:val="00B93EB5"/>
    <w:rsid w:val="00BB56A7"/>
    <w:rsid w:val="00BD3F03"/>
    <w:rsid w:val="00BD429A"/>
    <w:rsid w:val="00C0704D"/>
    <w:rsid w:val="00C25722"/>
    <w:rsid w:val="00C618DB"/>
    <w:rsid w:val="00CA4CC4"/>
    <w:rsid w:val="00CD6F52"/>
    <w:rsid w:val="00D11007"/>
    <w:rsid w:val="00D17EB1"/>
    <w:rsid w:val="00D2449B"/>
    <w:rsid w:val="00D33A06"/>
    <w:rsid w:val="00D54B95"/>
    <w:rsid w:val="00D54E67"/>
    <w:rsid w:val="00DD62F6"/>
    <w:rsid w:val="00E46243"/>
    <w:rsid w:val="00E66534"/>
    <w:rsid w:val="00E72F6C"/>
    <w:rsid w:val="00E811E3"/>
    <w:rsid w:val="00EA09F9"/>
    <w:rsid w:val="00EC23C7"/>
    <w:rsid w:val="00ED00B7"/>
    <w:rsid w:val="00EF44E6"/>
    <w:rsid w:val="00F15AA3"/>
    <w:rsid w:val="00F41F09"/>
    <w:rsid w:val="00FD6AE3"/>
    <w:rsid w:val="00FE1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67476">
      <w:bodyDiv w:val="1"/>
      <w:marLeft w:val="0"/>
      <w:marRight w:val="0"/>
      <w:marTop w:val="0"/>
      <w:marBottom w:val="0"/>
      <w:divBdr>
        <w:top w:val="none" w:sz="0" w:space="0" w:color="auto"/>
        <w:left w:val="none" w:sz="0" w:space="0" w:color="auto"/>
        <w:bottom w:val="none" w:sz="0" w:space="0" w:color="auto"/>
        <w:right w:val="none" w:sz="0" w:space="0" w:color="auto"/>
      </w:divBdr>
    </w:div>
    <w:div w:id="14350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2025-03-07T15:15:00Z</dcterms:created>
  <dcterms:modified xsi:type="dcterms:W3CDTF">2025-03-07T15:15:00Z</dcterms:modified>
</cp:coreProperties>
</file>