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7"/>
        <w:gridCol w:w="1632"/>
        <w:gridCol w:w="36"/>
        <w:gridCol w:w="658"/>
        <w:gridCol w:w="2744"/>
        <w:gridCol w:w="3634"/>
      </w:tblGrid>
      <w:tr w:rsidR="004A5EA9" w:rsidRPr="00D2449B" w14:paraId="2094A164" w14:textId="77777777" w:rsidTr="00D7793B">
        <w:trPr>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43"/>
              <w:gridCol w:w="900"/>
              <w:gridCol w:w="848"/>
              <w:gridCol w:w="978"/>
              <w:gridCol w:w="1278"/>
              <w:gridCol w:w="1098"/>
              <w:gridCol w:w="626"/>
              <w:gridCol w:w="842"/>
              <w:gridCol w:w="1332"/>
            </w:tblGrid>
            <w:tr w:rsidR="00D7793B" w:rsidRPr="008C75E4" w14:paraId="0B81EEDC" w14:textId="77777777" w:rsidTr="00F456C7">
              <w:trPr>
                <w:jc w:val="center"/>
              </w:trPr>
              <w:tc>
                <w:tcPr>
                  <w:tcW w:w="9045" w:type="dxa"/>
                  <w:gridSpan w:val="9"/>
                  <w:tcMar>
                    <w:top w:w="57" w:type="dxa"/>
                    <w:bottom w:w="57" w:type="dxa"/>
                  </w:tcMar>
                </w:tcPr>
                <w:p w14:paraId="2A3D44B7" w14:textId="77777777" w:rsidR="00D7793B" w:rsidRPr="008C75E4" w:rsidRDefault="00D7793B" w:rsidP="00D7793B">
                  <w:pPr>
                    <w:jc w:val="center"/>
                    <w:rPr>
                      <w:rFonts w:ascii="Calibri" w:hAnsi="Calibri"/>
                      <w:b/>
                      <w:szCs w:val="22"/>
                    </w:rPr>
                  </w:pPr>
                  <w:r w:rsidRPr="008C75E4">
                    <w:rPr>
                      <w:rFonts w:ascii="Calibri" w:hAnsi="Calibri"/>
                      <w:b/>
                      <w:szCs w:val="22"/>
                    </w:rPr>
                    <w:t>Report to be read in conjunction with the Decision Notice.</w:t>
                  </w:r>
                </w:p>
              </w:tc>
            </w:tr>
            <w:tr w:rsidR="00694447" w:rsidRPr="008C75E4" w14:paraId="30316091" w14:textId="77777777" w:rsidTr="00F456C7">
              <w:trPr>
                <w:trHeight w:val="251"/>
                <w:jc w:val="center"/>
              </w:trPr>
              <w:tc>
                <w:tcPr>
                  <w:tcW w:w="1162" w:type="dxa"/>
                  <w:tcMar>
                    <w:top w:w="57" w:type="dxa"/>
                    <w:bottom w:w="57" w:type="dxa"/>
                  </w:tcMar>
                </w:tcPr>
                <w:p w14:paraId="49C957FC" w14:textId="7BDED193" w:rsidR="00D7793B" w:rsidRPr="008C75E4" w:rsidRDefault="00D7793B" w:rsidP="00250BE2">
                  <w:pPr>
                    <w:jc w:val="center"/>
                    <w:rPr>
                      <w:rFonts w:ascii="Calibri" w:hAnsi="Calibri"/>
                      <w:b/>
                      <w:szCs w:val="22"/>
                    </w:rPr>
                  </w:pPr>
                  <w:r w:rsidRPr="008C75E4">
                    <w:rPr>
                      <w:rFonts w:ascii="Calibri" w:hAnsi="Calibri"/>
                      <w:b/>
                      <w:szCs w:val="22"/>
                    </w:rPr>
                    <w:t>Signed:</w:t>
                  </w:r>
                </w:p>
              </w:tc>
              <w:tc>
                <w:tcPr>
                  <w:tcW w:w="900" w:type="dxa"/>
                </w:tcPr>
                <w:p w14:paraId="4C41402E" w14:textId="77777777" w:rsidR="00D7793B" w:rsidRPr="008C75E4" w:rsidRDefault="00D7793B" w:rsidP="00D7793B">
                  <w:pPr>
                    <w:jc w:val="center"/>
                    <w:rPr>
                      <w:rFonts w:ascii="Calibri" w:hAnsi="Calibri"/>
                      <w:b/>
                      <w:szCs w:val="22"/>
                    </w:rPr>
                  </w:pPr>
                  <w:r w:rsidRPr="008C75E4">
                    <w:rPr>
                      <w:rFonts w:ascii="Calibri" w:hAnsi="Calibri"/>
                      <w:b/>
                      <w:szCs w:val="22"/>
                    </w:rPr>
                    <w:t>Officer:</w:t>
                  </w:r>
                </w:p>
              </w:tc>
              <w:tc>
                <w:tcPr>
                  <w:tcW w:w="871" w:type="dxa"/>
                </w:tcPr>
                <w:p w14:paraId="7E47F22F" w14:textId="20689D7B" w:rsidR="00D7793B" w:rsidRPr="004D33C8" w:rsidRDefault="005246CC" w:rsidP="00D7793B">
                  <w:pPr>
                    <w:jc w:val="center"/>
                    <w:rPr>
                      <w:rFonts w:ascii="Calibri" w:hAnsi="Calibri"/>
                      <w:szCs w:val="22"/>
                    </w:rPr>
                  </w:pPr>
                  <w:r>
                    <w:rPr>
                      <w:rFonts w:ascii="Calibri" w:hAnsi="Calibri"/>
                      <w:szCs w:val="22"/>
                    </w:rPr>
                    <w:t>MC</w:t>
                  </w:r>
                </w:p>
              </w:tc>
              <w:tc>
                <w:tcPr>
                  <w:tcW w:w="997" w:type="dxa"/>
                </w:tcPr>
                <w:p w14:paraId="2922EE3C" w14:textId="77777777" w:rsidR="00D7793B" w:rsidRPr="008C75E4" w:rsidRDefault="00D7793B" w:rsidP="00D7793B">
                  <w:pPr>
                    <w:jc w:val="center"/>
                    <w:rPr>
                      <w:rFonts w:ascii="Calibri" w:hAnsi="Calibri"/>
                      <w:b/>
                      <w:szCs w:val="22"/>
                    </w:rPr>
                  </w:pPr>
                  <w:r w:rsidRPr="008C75E4">
                    <w:rPr>
                      <w:rFonts w:ascii="Calibri" w:hAnsi="Calibri"/>
                      <w:b/>
                      <w:szCs w:val="22"/>
                    </w:rPr>
                    <w:t>Date:</w:t>
                  </w:r>
                </w:p>
              </w:tc>
              <w:tc>
                <w:tcPr>
                  <w:tcW w:w="1169" w:type="dxa"/>
                </w:tcPr>
                <w:p w14:paraId="3C1A42B2" w14:textId="634FF619" w:rsidR="00D7793B" w:rsidRPr="004D33C8" w:rsidRDefault="002900C5" w:rsidP="00D7793B">
                  <w:pPr>
                    <w:jc w:val="center"/>
                    <w:rPr>
                      <w:rFonts w:ascii="Calibri" w:hAnsi="Calibri"/>
                      <w:szCs w:val="22"/>
                    </w:rPr>
                  </w:pPr>
                  <w:r>
                    <w:rPr>
                      <w:rFonts w:ascii="Calibri" w:hAnsi="Calibri"/>
                      <w:szCs w:val="22"/>
                    </w:rPr>
                    <w:t>12/02/2025</w:t>
                  </w:r>
                </w:p>
              </w:tc>
              <w:tc>
                <w:tcPr>
                  <w:tcW w:w="1098" w:type="dxa"/>
                </w:tcPr>
                <w:p w14:paraId="567D8AC4" w14:textId="77777777" w:rsidR="00D7793B" w:rsidRPr="008C75E4" w:rsidRDefault="00D7793B" w:rsidP="00D7793B">
                  <w:pPr>
                    <w:jc w:val="center"/>
                    <w:rPr>
                      <w:rFonts w:ascii="Calibri" w:hAnsi="Calibri"/>
                      <w:b/>
                      <w:szCs w:val="22"/>
                    </w:rPr>
                  </w:pPr>
                  <w:r w:rsidRPr="008C75E4">
                    <w:rPr>
                      <w:rFonts w:ascii="Calibri" w:hAnsi="Calibri"/>
                      <w:b/>
                      <w:szCs w:val="22"/>
                    </w:rPr>
                    <w:t>Manager:</w:t>
                  </w:r>
                </w:p>
              </w:tc>
              <w:tc>
                <w:tcPr>
                  <w:tcW w:w="639" w:type="dxa"/>
                </w:tcPr>
                <w:p w14:paraId="294174D2" w14:textId="2FD8493F" w:rsidR="00D7793B" w:rsidRPr="008C75E4" w:rsidRDefault="007267AC" w:rsidP="00D7793B">
                  <w:pPr>
                    <w:jc w:val="center"/>
                    <w:rPr>
                      <w:rFonts w:ascii="Calibri" w:hAnsi="Calibri"/>
                      <w:b/>
                      <w:szCs w:val="22"/>
                    </w:rPr>
                  </w:pPr>
                  <w:r>
                    <w:rPr>
                      <w:rFonts w:ascii="Calibri" w:hAnsi="Calibri"/>
                      <w:b/>
                      <w:szCs w:val="22"/>
                    </w:rPr>
                    <w:t>LH</w:t>
                  </w:r>
                </w:p>
              </w:tc>
              <w:tc>
                <w:tcPr>
                  <w:tcW w:w="851" w:type="dxa"/>
                </w:tcPr>
                <w:p w14:paraId="4F2B5A2E" w14:textId="77777777" w:rsidR="00D7793B" w:rsidRPr="008C75E4" w:rsidRDefault="00D7793B" w:rsidP="00D7793B">
                  <w:pPr>
                    <w:jc w:val="center"/>
                    <w:rPr>
                      <w:rFonts w:ascii="Calibri" w:hAnsi="Calibri"/>
                      <w:b/>
                      <w:szCs w:val="22"/>
                    </w:rPr>
                  </w:pPr>
                  <w:r w:rsidRPr="008C75E4">
                    <w:rPr>
                      <w:rFonts w:ascii="Calibri" w:hAnsi="Calibri"/>
                      <w:b/>
                      <w:szCs w:val="22"/>
                    </w:rPr>
                    <w:t>Date:</w:t>
                  </w:r>
                </w:p>
              </w:tc>
              <w:tc>
                <w:tcPr>
                  <w:tcW w:w="1358" w:type="dxa"/>
                </w:tcPr>
                <w:p w14:paraId="4D2F71E6" w14:textId="74548EF3" w:rsidR="00D7793B" w:rsidRPr="008C75E4" w:rsidRDefault="007267AC" w:rsidP="00D7793B">
                  <w:pPr>
                    <w:rPr>
                      <w:rFonts w:ascii="Calibri" w:hAnsi="Calibri"/>
                      <w:b/>
                      <w:szCs w:val="22"/>
                    </w:rPr>
                  </w:pPr>
                  <w:r>
                    <w:rPr>
                      <w:rFonts w:ascii="Calibri" w:hAnsi="Calibri"/>
                      <w:b/>
                      <w:szCs w:val="22"/>
                    </w:rPr>
                    <w:t>14/2/25</w:t>
                  </w:r>
                </w:p>
              </w:tc>
            </w:tr>
            <w:tr w:rsidR="00D7793B" w:rsidRPr="008C75E4" w14:paraId="039D3A02" w14:textId="77777777" w:rsidTr="00F456C7">
              <w:trPr>
                <w:jc w:val="center"/>
              </w:trPr>
              <w:tc>
                <w:tcPr>
                  <w:tcW w:w="9045" w:type="dxa"/>
                  <w:gridSpan w:val="9"/>
                  <w:tcBorders>
                    <w:left w:val="nil"/>
                    <w:right w:val="nil"/>
                  </w:tcBorders>
                  <w:tcMar>
                    <w:top w:w="57" w:type="dxa"/>
                    <w:bottom w:w="57" w:type="dxa"/>
                  </w:tcMar>
                </w:tcPr>
                <w:p w14:paraId="7152769C" w14:textId="77777777" w:rsidR="00D7793B" w:rsidRPr="008C75E4" w:rsidRDefault="00D7793B" w:rsidP="00D7793B">
                  <w:pPr>
                    <w:jc w:val="center"/>
                    <w:rPr>
                      <w:rFonts w:ascii="Calibri" w:hAnsi="Calibri"/>
                      <w:b/>
                      <w:szCs w:val="22"/>
                    </w:rPr>
                  </w:pPr>
                </w:p>
              </w:tc>
            </w:tr>
          </w:tbl>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7793B">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CF284C6" w:rsidR="004A5EA9" w:rsidRPr="006C4E21" w:rsidRDefault="006C4E21" w:rsidP="008542DE">
            <w:pPr>
              <w:rPr>
                <w:rFonts w:ascii="Calibri" w:hAnsi="Calibri"/>
                <w:szCs w:val="22"/>
              </w:rPr>
            </w:pPr>
            <w:r w:rsidRPr="006C4E21">
              <w:rPr>
                <w:rFonts w:ascii="Calibri" w:hAnsi="Calibri"/>
                <w:szCs w:val="22"/>
              </w:rPr>
              <w:t>3/</w:t>
            </w:r>
            <w:r w:rsidR="005246CC">
              <w:rPr>
                <w:rFonts w:ascii="Calibri" w:hAnsi="Calibri"/>
                <w:szCs w:val="22"/>
              </w:rPr>
              <w:t>2025/0016</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D7793B">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9474EF3" w:rsidR="004A5EA9" w:rsidRPr="006C4E21" w:rsidRDefault="00694447" w:rsidP="002C6277">
            <w:pPr>
              <w:rPr>
                <w:rFonts w:ascii="Calibri" w:hAnsi="Calibri"/>
                <w:szCs w:val="22"/>
              </w:rPr>
            </w:pPr>
            <w:r>
              <w:rPr>
                <w:rFonts w:ascii="Calibri" w:hAnsi="Calibri"/>
                <w:szCs w:val="22"/>
              </w:rPr>
              <w:t>N/A</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D7793B">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84AC838" w:rsidR="004A5EA9" w:rsidRPr="006C4E21" w:rsidRDefault="005246CC" w:rsidP="00811771">
            <w:pPr>
              <w:rPr>
                <w:rFonts w:ascii="Calibri" w:hAnsi="Calibri"/>
                <w:szCs w:val="22"/>
              </w:rPr>
            </w:pPr>
            <w:r>
              <w:rPr>
                <w:rFonts w:ascii="Calibri" w:hAnsi="Calibri"/>
                <w:szCs w:val="22"/>
              </w:rPr>
              <w:t>MC</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7793B">
        <w:trPr>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6B8E628" w:rsidR="004A5EA9" w:rsidRPr="00D2449B" w:rsidRDefault="00453B8E" w:rsidP="002A01CF">
            <w:pPr>
              <w:jc w:val="center"/>
              <w:rPr>
                <w:rFonts w:ascii="Calibri" w:hAnsi="Calibri"/>
                <w:b/>
                <w:szCs w:val="22"/>
              </w:rPr>
            </w:pPr>
            <w:r w:rsidRPr="002900C5">
              <w:rPr>
                <w:rFonts w:ascii="Calibri" w:hAnsi="Calibri"/>
                <w:b/>
                <w:szCs w:val="22"/>
              </w:rPr>
              <w:t>REFUSAL</w:t>
            </w:r>
          </w:p>
        </w:tc>
      </w:tr>
      <w:tr w:rsidR="004A5EA9" w:rsidRPr="00D2449B" w14:paraId="7813B96A" w14:textId="77777777" w:rsidTr="00D7793B">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7793B">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805A916" w:rsidR="004A5EA9" w:rsidRPr="002C6277" w:rsidRDefault="005246CC">
            <w:pPr>
              <w:rPr>
                <w:rFonts w:ascii="Calibri" w:hAnsi="Calibri"/>
                <w:szCs w:val="22"/>
              </w:rPr>
            </w:pPr>
            <w:r w:rsidRPr="005246CC">
              <w:rPr>
                <w:rFonts w:ascii="Calibri" w:hAnsi="Calibri"/>
                <w:szCs w:val="22"/>
              </w:rPr>
              <w:t>Certificate of Lawfulness for existing use as B8 commercial storage.</w:t>
            </w:r>
          </w:p>
        </w:tc>
      </w:tr>
      <w:tr w:rsidR="002A01CF" w:rsidRPr="00D2449B" w14:paraId="52988241" w14:textId="77777777" w:rsidTr="00D7793B">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49150F9" w:rsidR="002A01CF" w:rsidRPr="00453B8E" w:rsidRDefault="005246CC" w:rsidP="00A42E82">
            <w:pPr>
              <w:rPr>
                <w:rFonts w:ascii="Calibri" w:hAnsi="Calibri"/>
                <w:szCs w:val="22"/>
              </w:rPr>
            </w:pPr>
            <w:r>
              <w:rPr>
                <w:rFonts w:ascii="Calibri" w:hAnsi="Calibri"/>
                <w:szCs w:val="22"/>
              </w:rPr>
              <w:t xml:space="preserve">Meadow Brook Barn, </w:t>
            </w:r>
            <w:proofErr w:type="spellStart"/>
            <w:r>
              <w:rPr>
                <w:rFonts w:ascii="Calibri" w:hAnsi="Calibri"/>
                <w:szCs w:val="22"/>
              </w:rPr>
              <w:t>Saccary</w:t>
            </w:r>
            <w:proofErr w:type="spellEnd"/>
            <w:r>
              <w:rPr>
                <w:rFonts w:ascii="Calibri" w:hAnsi="Calibri"/>
                <w:szCs w:val="22"/>
              </w:rPr>
              <w:t xml:space="preserve"> Lane, Mellor, BB1 9DW</w:t>
            </w:r>
          </w:p>
        </w:tc>
      </w:tr>
      <w:tr w:rsidR="00A95D89" w:rsidRPr="00D2449B" w14:paraId="3FB99B2E" w14:textId="77777777" w:rsidTr="00D7793B">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7793B">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7793B">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1B0140" w14:textId="77777777" w:rsidR="00D17A79" w:rsidRDefault="00D17A79">
            <w:pPr>
              <w:rPr>
                <w:rFonts w:ascii="Calibri" w:hAnsi="Calibri"/>
                <w:bCs/>
                <w:szCs w:val="22"/>
              </w:rPr>
            </w:pPr>
            <w:r>
              <w:rPr>
                <w:rFonts w:ascii="Calibri" w:hAnsi="Calibri"/>
                <w:bCs/>
                <w:szCs w:val="22"/>
              </w:rPr>
              <w:t>Mellor Parish Council: The PC</w:t>
            </w:r>
            <w:r w:rsidRPr="00D17A79">
              <w:rPr>
                <w:rFonts w:ascii="Calibri" w:hAnsi="Calibri"/>
                <w:bCs/>
                <w:szCs w:val="22"/>
              </w:rPr>
              <w:t xml:space="preserve"> support to the application. </w:t>
            </w:r>
          </w:p>
          <w:p w14:paraId="6D395931" w14:textId="77777777" w:rsidR="00D17A79" w:rsidRDefault="00D17A79">
            <w:pPr>
              <w:rPr>
                <w:rFonts w:ascii="Calibri" w:hAnsi="Calibri"/>
                <w:bCs/>
                <w:szCs w:val="22"/>
              </w:rPr>
            </w:pPr>
          </w:p>
          <w:p w14:paraId="53AA0468" w14:textId="77777777" w:rsidR="002A01CF" w:rsidRDefault="00D17A79">
            <w:pPr>
              <w:rPr>
                <w:rFonts w:ascii="Calibri" w:hAnsi="Calibri"/>
                <w:bCs/>
                <w:szCs w:val="22"/>
              </w:rPr>
            </w:pPr>
            <w:r w:rsidRPr="00D17A79">
              <w:rPr>
                <w:rFonts w:ascii="Calibri" w:hAnsi="Calibri"/>
                <w:bCs/>
                <w:szCs w:val="22"/>
              </w:rPr>
              <w:t xml:space="preserve">The businesses have greatly assisted residents of this Parish and were an asset. It feels the current owner and applicant should not have any resistance in being afforded the ability to conduct his business and welcomes this. </w:t>
            </w:r>
            <w:r w:rsidR="002900C5">
              <w:rPr>
                <w:rFonts w:ascii="Calibri" w:hAnsi="Calibri"/>
                <w:bCs/>
                <w:szCs w:val="22"/>
              </w:rPr>
              <w:t xml:space="preserve">PC urge LPA to grant </w:t>
            </w:r>
            <w:r w:rsidRPr="00D17A79">
              <w:rPr>
                <w:rFonts w:ascii="Calibri" w:hAnsi="Calibri"/>
                <w:bCs/>
                <w:szCs w:val="22"/>
              </w:rPr>
              <w:t xml:space="preserve">the above application without further delay. </w:t>
            </w:r>
          </w:p>
          <w:p w14:paraId="3E1A1B2C" w14:textId="4281C4E9" w:rsidR="002900C5" w:rsidRPr="006C4E21" w:rsidRDefault="002900C5">
            <w:pPr>
              <w:rPr>
                <w:rFonts w:ascii="Calibri" w:hAnsi="Calibri"/>
                <w:bCs/>
                <w:szCs w:val="22"/>
              </w:rPr>
            </w:pPr>
          </w:p>
        </w:tc>
      </w:tr>
      <w:tr w:rsidR="00C618DB" w:rsidRPr="00D2449B" w14:paraId="639E958B" w14:textId="77777777" w:rsidTr="00D7793B">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7793B">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EF2BAA" w:rsidRPr="00D2449B" w14:paraId="1EA955B4" w14:textId="77777777" w:rsidTr="00DD2BB0">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6B45ED1C" w:rsidR="00EF2BAA" w:rsidRPr="006C4E21" w:rsidRDefault="00EF2BAA">
            <w:pPr>
              <w:rPr>
                <w:rFonts w:ascii="Calibri" w:hAnsi="Calibri"/>
                <w:bCs/>
                <w:szCs w:val="22"/>
              </w:rPr>
            </w:pPr>
            <w:r>
              <w:rPr>
                <w:rFonts w:ascii="Calibri" w:hAnsi="Calibri"/>
                <w:bCs/>
                <w:szCs w:val="22"/>
              </w:rPr>
              <w:t>N/A</w:t>
            </w:r>
          </w:p>
        </w:tc>
      </w:tr>
      <w:tr w:rsidR="00A54DF1" w:rsidRPr="00D2449B" w14:paraId="62663AAF" w14:textId="77777777" w:rsidTr="00D7793B">
        <w:trPr>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E3F4E8B" w:rsidR="00A54DF1" w:rsidRPr="00C0704D" w:rsidRDefault="00A54DF1" w:rsidP="00A54DF1">
            <w:pPr>
              <w:jc w:val="right"/>
              <w:rPr>
                <w:rFonts w:ascii="Calibri" w:hAnsi="Calibri"/>
                <w:szCs w:val="22"/>
              </w:rPr>
            </w:pPr>
          </w:p>
        </w:tc>
      </w:tr>
      <w:tr w:rsidR="00C0704D" w:rsidRPr="00D2449B" w14:paraId="29EBDA1F" w14:textId="77777777" w:rsidTr="00D7793B">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2900C5" w:rsidRDefault="00C0704D" w:rsidP="00C618DB">
            <w:pPr>
              <w:rPr>
                <w:rFonts w:ascii="Calibri" w:hAnsi="Calibri"/>
                <w:b/>
                <w:szCs w:val="22"/>
              </w:rPr>
            </w:pPr>
            <w:r w:rsidRPr="002900C5">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2900C5" w:rsidRDefault="00C0704D" w:rsidP="00C618DB">
            <w:pPr>
              <w:rPr>
                <w:rFonts w:ascii="Calibri" w:hAnsi="Calibri"/>
                <w:b/>
                <w:szCs w:val="22"/>
              </w:rPr>
            </w:pPr>
            <w:r w:rsidRPr="002900C5">
              <w:rPr>
                <w:rFonts w:ascii="Calibri" w:hAnsi="Calibri"/>
                <w:b/>
                <w:szCs w:val="22"/>
              </w:rPr>
              <w:t>Additional Representations.</w:t>
            </w:r>
          </w:p>
        </w:tc>
      </w:tr>
      <w:tr w:rsidR="00C0704D" w:rsidRPr="00D2449B" w14:paraId="3999C1CA" w14:textId="77777777" w:rsidTr="00D7793B">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453D486" w:rsidR="00C0704D" w:rsidRPr="00C0704D" w:rsidRDefault="002900C5" w:rsidP="00692B60">
            <w:pPr>
              <w:rPr>
                <w:rFonts w:ascii="Calibri" w:hAnsi="Calibri"/>
                <w:szCs w:val="22"/>
              </w:rPr>
            </w:pPr>
            <w:r>
              <w:rPr>
                <w:rFonts w:ascii="Calibri" w:hAnsi="Calibri"/>
                <w:szCs w:val="22"/>
              </w:rPr>
              <w:t>N/A</w:t>
            </w:r>
          </w:p>
        </w:tc>
      </w:tr>
      <w:tr w:rsidR="00C0704D" w:rsidRPr="00D2449B" w14:paraId="1CDFA4C3" w14:textId="77777777" w:rsidTr="00D7793B">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7793B">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7793B">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56B6D0" w14:textId="77777777" w:rsidR="00686398" w:rsidRDefault="00686398" w:rsidP="00686398">
            <w:pPr>
              <w:rPr>
                <w:rFonts w:ascii="Calibri" w:hAnsi="Calibri"/>
                <w:szCs w:val="22"/>
              </w:rPr>
            </w:pPr>
          </w:p>
          <w:p w14:paraId="08CB61FC" w14:textId="6CF68B9B" w:rsidR="00686398" w:rsidRPr="00686398" w:rsidRDefault="00681E01" w:rsidP="00686398">
            <w:pPr>
              <w:rPr>
                <w:rFonts w:ascii="Calibri" w:hAnsi="Calibri"/>
                <w:i/>
                <w:iCs/>
                <w:szCs w:val="22"/>
              </w:rPr>
            </w:pPr>
            <w:r>
              <w:rPr>
                <w:rFonts w:ascii="Calibri" w:hAnsi="Calibri"/>
                <w:szCs w:val="22"/>
              </w:rPr>
              <w:t>Town and Country Plan</w:t>
            </w:r>
            <w:r w:rsidR="0035044F">
              <w:rPr>
                <w:rFonts w:ascii="Calibri" w:hAnsi="Calibri"/>
                <w:szCs w:val="22"/>
              </w:rPr>
              <w:t>ning</w:t>
            </w:r>
            <w:r>
              <w:rPr>
                <w:rFonts w:ascii="Calibri" w:hAnsi="Calibri"/>
                <w:szCs w:val="22"/>
              </w:rPr>
              <w:t xml:space="preserve"> Act 1990</w:t>
            </w:r>
            <w:r w:rsidR="0035044F">
              <w:rPr>
                <w:rFonts w:ascii="Calibri" w:hAnsi="Calibri"/>
                <w:szCs w:val="22"/>
              </w:rPr>
              <w:t>,</w:t>
            </w:r>
            <w:r>
              <w:rPr>
                <w:rFonts w:ascii="Calibri" w:hAnsi="Calibri"/>
                <w:szCs w:val="22"/>
              </w:rPr>
              <w:t xml:space="preserve"> </w:t>
            </w:r>
            <w:r w:rsidR="00686398" w:rsidRPr="00686398">
              <w:rPr>
                <w:rFonts w:ascii="Calibri" w:hAnsi="Calibri"/>
                <w:szCs w:val="22"/>
              </w:rPr>
              <w:t>Section 171(B); Section 191</w:t>
            </w:r>
          </w:p>
          <w:p w14:paraId="1A0C4DD2" w14:textId="77777777" w:rsidR="00681E01" w:rsidRDefault="00681E01" w:rsidP="00C0704D">
            <w:pPr>
              <w:rPr>
                <w:rFonts w:ascii="Calibri" w:hAnsi="Calibri"/>
                <w:szCs w:val="22"/>
              </w:rPr>
            </w:pPr>
          </w:p>
          <w:p w14:paraId="03F5E778" w14:textId="67BAE789" w:rsidR="00F9645B" w:rsidRPr="00681E01" w:rsidRDefault="00681E01" w:rsidP="001F1BF5">
            <w:pPr>
              <w:rPr>
                <w:rFonts w:ascii="Calibri" w:hAnsi="Calibri"/>
                <w:szCs w:val="22"/>
              </w:rPr>
            </w:pPr>
            <w:r w:rsidRPr="00681E01">
              <w:rPr>
                <w:rFonts w:ascii="Calibri" w:hAnsi="Calibri"/>
                <w:szCs w:val="22"/>
              </w:rPr>
              <w:t xml:space="preserve">National Planning Practice Guidance: Lawful </w:t>
            </w:r>
            <w:r w:rsidR="00686398">
              <w:rPr>
                <w:rFonts w:ascii="Calibri" w:hAnsi="Calibri"/>
                <w:szCs w:val="22"/>
              </w:rPr>
              <w:t>D</w:t>
            </w:r>
            <w:r w:rsidRPr="00681E01">
              <w:rPr>
                <w:rFonts w:ascii="Calibri" w:hAnsi="Calibri"/>
                <w:szCs w:val="22"/>
              </w:rPr>
              <w:t>evelopment Certificates</w:t>
            </w:r>
          </w:p>
          <w:p w14:paraId="6C4C318E" w14:textId="2253CD40" w:rsidR="001F1BF5" w:rsidRPr="00D2449B" w:rsidRDefault="001F1BF5" w:rsidP="001F1BF5">
            <w:pPr>
              <w:rPr>
                <w:rFonts w:ascii="Calibri" w:hAnsi="Calibri"/>
                <w:b/>
                <w:szCs w:val="22"/>
              </w:rPr>
            </w:pPr>
          </w:p>
        </w:tc>
      </w:tr>
      <w:tr w:rsidR="00C0704D" w:rsidRPr="00D2449B" w14:paraId="08181FD6" w14:textId="77777777" w:rsidTr="00D7793B">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9C91DA8" w14:textId="77777777" w:rsidR="00686398" w:rsidRDefault="00686398" w:rsidP="00EF2BAA">
            <w:pPr>
              <w:pStyle w:val="PLANNING"/>
              <w:rPr>
                <w:rFonts w:ascii="Calibri" w:hAnsi="Calibri"/>
                <w:szCs w:val="22"/>
              </w:rPr>
            </w:pPr>
          </w:p>
          <w:p w14:paraId="1A2EF6EC" w14:textId="29256E61" w:rsidR="00694447" w:rsidRDefault="005246CC" w:rsidP="00453B8E">
            <w:pPr>
              <w:pStyle w:val="PLANNING"/>
              <w:rPr>
                <w:rFonts w:ascii="Calibri" w:hAnsi="Calibri"/>
                <w:b/>
                <w:bCs/>
                <w:szCs w:val="22"/>
              </w:rPr>
            </w:pPr>
            <w:r>
              <w:rPr>
                <w:rFonts w:ascii="Calibri" w:hAnsi="Calibri"/>
                <w:b/>
                <w:bCs/>
                <w:szCs w:val="22"/>
              </w:rPr>
              <w:t>3/2018/0755</w:t>
            </w:r>
          </w:p>
          <w:p w14:paraId="02B39AF7" w14:textId="1017269E" w:rsidR="005246CC" w:rsidRDefault="005246CC" w:rsidP="00453B8E">
            <w:pPr>
              <w:pStyle w:val="PLANNING"/>
              <w:rPr>
                <w:rFonts w:ascii="Calibri" w:hAnsi="Calibri"/>
                <w:szCs w:val="22"/>
              </w:rPr>
            </w:pPr>
            <w:r>
              <w:rPr>
                <w:rFonts w:ascii="Calibri" w:hAnsi="Calibri"/>
                <w:szCs w:val="22"/>
              </w:rPr>
              <w:t>Conversion of barn to dwelling house</w:t>
            </w:r>
          </w:p>
          <w:p w14:paraId="7226ADA6" w14:textId="77777777" w:rsidR="00453B8E" w:rsidRDefault="005246CC" w:rsidP="005246CC">
            <w:pPr>
              <w:pStyle w:val="PLANNING"/>
              <w:rPr>
                <w:rFonts w:ascii="Calibri" w:hAnsi="Calibri"/>
                <w:szCs w:val="22"/>
              </w:rPr>
            </w:pPr>
            <w:r>
              <w:rPr>
                <w:rFonts w:ascii="Calibri" w:hAnsi="Calibri"/>
                <w:szCs w:val="22"/>
              </w:rPr>
              <w:t>Refused</w:t>
            </w:r>
          </w:p>
          <w:p w14:paraId="78242030" w14:textId="77777777" w:rsidR="00BC127A" w:rsidRDefault="00BC127A" w:rsidP="005246CC">
            <w:pPr>
              <w:pStyle w:val="PLANNING"/>
              <w:rPr>
                <w:rFonts w:ascii="Calibri" w:hAnsi="Calibri"/>
                <w:szCs w:val="22"/>
              </w:rPr>
            </w:pPr>
          </w:p>
          <w:p w14:paraId="4FE82C44" w14:textId="77777777" w:rsidR="005246CC" w:rsidRDefault="00BC127A" w:rsidP="005246CC">
            <w:pPr>
              <w:pStyle w:val="PLANNING"/>
              <w:rPr>
                <w:rFonts w:ascii="Calibri" w:hAnsi="Calibri"/>
                <w:b/>
                <w:bCs/>
                <w:szCs w:val="22"/>
              </w:rPr>
            </w:pPr>
            <w:r w:rsidRPr="00BC127A">
              <w:rPr>
                <w:rFonts w:ascii="Calibri" w:hAnsi="Calibri"/>
                <w:b/>
                <w:bCs/>
                <w:szCs w:val="22"/>
              </w:rPr>
              <w:t>3/1986/0689</w:t>
            </w:r>
          </w:p>
          <w:p w14:paraId="5AAF2852" w14:textId="77777777" w:rsidR="004C72C4" w:rsidRPr="004C72C4" w:rsidRDefault="004C72C4" w:rsidP="005246CC">
            <w:pPr>
              <w:pStyle w:val="PLANNING"/>
              <w:rPr>
                <w:rFonts w:ascii="Calibri" w:hAnsi="Calibri"/>
                <w:szCs w:val="22"/>
              </w:rPr>
            </w:pPr>
            <w:r w:rsidRPr="004C72C4">
              <w:rPr>
                <w:rFonts w:ascii="Calibri" w:hAnsi="Calibri"/>
                <w:szCs w:val="22"/>
              </w:rPr>
              <w:t>Change of use of barn to dwelling</w:t>
            </w:r>
          </w:p>
          <w:p w14:paraId="17147D50" w14:textId="49B42982" w:rsidR="004C72C4" w:rsidRPr="004C72C4" w:rsidRDefault="004C72C4" w:rsidP="005246CC">
            <w:pPr>
              <w:pStyle w:val="PLANNING"/>
              <w:rPr>
                <w:rFonts w:ascii="Calibri" w:hAnsi="Calibri"/>
                <w:szCs w:val="22"/>
              </w:rPr>
            </w:pPr>
            <w:r w:rsidRPr="004C72C4">
              <w:rPr>
                <w:rFonts w:ascii="Calibri" w:hAnsi="Calibri"/>
                <w:szCs w:val="22"/>
              </w:rPr>
              <w:t>Refused</w:t>
            </w:r>
          </w:p>
        </w:tc>
      </w:tr>
      <w:tr w:rsidR="00C0704D" w:rsidRPr="00D2449B" w14:paraId="6AAC3B0A" w14:textId="77777777" w:rsidTr="00D7793B">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7793B">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7793B">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A45459B"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4E8C3841" w14:textId="77777777" w:rsidR="00F9645B" w:rsidRDefault="00F9645B" w:rsidP="00440CB6">
            <w:pPr>
              <w:pStyle w:val="Header"/>
              <w:tabs>
                <w:tab w:val="clear" w:pos="4153"/>
                <w:tab w:val="clear" w:pos="8306"/>
              </w:tabs>
              <w:contextualSpacing/>
              <w:jc w:val="both"/>
              <w:rPr>
                <w:rFonts w:ascii="Calibri" w:hAnsi="Calibri"/>
                <w:b/>
                <w:szCs w:val="22"/>
              </w:rPr>
            </w:pPr>
          </w:p>
          <w:p w14:paraId="7FCA64E1" w14:textId="3F9AEBF8" w:rsidR="00A8269E" w:rsidRDefault="00453B8E" w:rsidP="00453B8E">
            <w:pPr>
              <w:pStyle w:val="Header"/>
              <w:contextualSpacing/>
              <w:rPr>
                <w:rFonts w:ascii="Calibri" w:hAnsi="Calibri"/>
                <w:bCs/>
                <w:szCs w:val="22"/>
              </w:rPr>
            </w:pPr>
            <w:r w:rsidRPr="00453B8E">
              <w:rPr>
                <w:rFonts w:ascii="Calibri" w:hAnsi="Calibri"/>
                <w:bCs/>
                <w:szCs w:val="22"/>
              </w:rPr>
              <w:t xml:space="preserve">The application relates to </w:t>
            </w:r>
            <w:r w:rsidR="00A8269E">
              <w:rPr>
                <w:rFonts w:ascii="Calibri" w:hAnsi="Calibri"/>
                <w:bCs/>
                <w:szCs w:val="22"/>
              </w:rPr>
              <w:t xml:space="preserve">a piece of land located off </w:t>
            </w:r>
            <w:proofErr w:type="spellStart"/>
            <w:r w:rsidR="00A8269E">
              <w:rPr>
                <w:rFonts w:ascii="Calibri" w:hAnsi="Calibri"/>
                <w:bCs/>
                <w:szCs w:val="22"/>
              </w:rPr>
              <w:t>Saccary</w:t>
            </w:r>
            <w:proofErr w:type="spellEnd"/>
            <w:r w:rsidR="00A8269E">
              <w:rPr>
                <w:rFonts w:ascii="Calibri" w:hAnsi="Calibri"/>
                <w:bCs/>
                <w:szCs w:val="22"/>
              </w:rPr>
              <w:t xml:space="preserve"> Lane which is located approximately 1.4</w:t>
            </w:r>
            <w:r w:rsidR="00594078">
              <w:rPr>
                <w:rFonts w:ascii="Calibri" w:hAnsi="Calibri"/>
                <w:bCs/>
                <w:szCs w:val="22"/>
              </w:rPr>
              <w:t>9</w:t>
            </w:r>
            <w:r w:rsidR="00A8269E">
              <w:rPr>
                <w:rFonts w:ascii="Calibri" w:hAnsi="Calibri"/>
                <w:bCs/>
                <w:szCs w:val="22"/>
              </w:rPr>
              <w:t xml:space="preserve"> km to the North-East of the village boundary of Mellor. The submitted supporting statement </w:t>
            </w:r>
            <w:r w:rsidR="00A8269E">
              <w:rPr>
                <w:rFonts w:ascii="Calibri" w:hAnsi="Calibri"/>
                <w:bCs/>
                <w:szCs w:val="22"/>
              </w:rPr>
              <w:lastRenderedPageBreak/>
              <w:t xml:space="preserve">indicates that the site is a mixed-use site and comprises various elements of commercial and residential and was formerly part of a working farm and used for agricultural purposes. The Councils records indicate that there is a two-storey barn with associated </w:t>
            </w:r>
            <w:r w:rsidR="00594078">
              <w:rPr>
                <w:rFonts w:ascii="Calibri" w:hAnsi="Calibri"/>
                <w:bCs/>
                <w:szCs w:val="22"/>
              </w:rPr>
              <w:t>single storey structures</w:t>
            </w:r>
            <w:r w:rsidR="00A8269E">
              <w:rPr>
                <w:rFonts w:ascii="Calibri" w:hAnsi="Calibri"/>
                <w:bCs/>
                <w:szCs w:val="22"/>
              </w:rPr>
              <w:t xml:space="preserve"> </w:t>
            </w:r>
            <w:proofErr w:type="gramStart"/>
            <w:r w:rsidR="00A8269E">
              <w:rPr>
                <w:rFonts w:ascii="Calibri" w:hAnsi="Calibri"/>
                <w:bCs/>
                <w:szCs w:val="22"/>
              </w:rPr>
              <w:t>and also</w:t>
            </w:r>
            <w:proofErr w:type="gramEnd"/>
            <w:r w:rsidR="00A8269E">
              <w:rPr>
                <w:rFonts w:ascii="Calibri" w:hAnsi="Calibri"/>
                <w:bCs/>
                <w:szCs w:val="22"/>
              </w:rPr>
              <w:t xml:space="preserve"> within the site, google street view and satellite imagery shows there to be storage containers and building materials</w:t>
            </w:r>
            <w:r w:rsidR="00594078">
              <w:rPr>
                <w:rFonts w:ascii="Calibri" w:hAnsi="Calibri"/>
                <w:bCs/>
                <w:szCs w:val="22"/>
              </w:rPr>
              <w:t>/</w:t>
            </w:r>
            <w:r w:rsidR="00A8269E">
              <w:rPr>
                <w:rFonts w:ascii="Calibri" w:hAnsi="Calibri"/>
                <w:bCs/>
                <w:szCs w:val="22"/>
              </w:rPr>
              <w:t>stored within the site.</w:t>
            </w:r>
          </w:p>
          <w:p w14:paraId="62370E9F" w14:textId="1C9CEE1F" w:rsidR="00453B8E" w:rsidRPr="006C2BFA" w:rsidRDefault="00453B8E" w:rsidP="00A8269E">
            <w:pPr>
              <w:pStyle w:val="Header"/>
              <w:contextualSpacing/>
              <w:rPr>
                <w:rFonts w:ascii="Calibri" w:hAnsi="Calibri"/>
                <w:bCs/>
                <w:szCs w:val="22"/>
              </w:rPr>
            </w:pPr>
          </w:p>
        </w:tc>
      </w:tr>
      <w:tr w:rsidR="00C0704D" w:rsidRPr="00D2449B" w14:paraId="408C6380" w14:textId="77777777" w:rsidTr="00D7793B">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4047597" w14:textId="77777777" w:rsidR="0056180B" w:rsidRDefault="00F9645B" w:rsidP="0056180B">
            <w:pPr>
              <w:rPr>
                <w:rFonts w:ascii="Calibri" w:hAnsi="Calibri"/>
                <w:szCs w:val="22"/>
              </w:rPr>
            </w:pPr>
            <w:r w:rsidRPr="006E70D4">
              <w:rPr>
                <w:rFonts w:ascii="Calibri" w:hAnsi="Calibri"/>
                <w:szCs w:val="22"/>
              </w:rPr>
              <w:t>This is an application for a</w:t>
            </w:r>
            <w:r>
              <w:rPr>
                <w:rFonts w:ascii="Calibri" w:hAnsi="Calibri"/>
                <w:szCs w:val="22"/>
              </w:rPr>
              <w:t xml:space="preserve"> Certificate of Lawfulness</w:t>
            </w:r>
            <w:r w:rsidRPr="006E70D4">
              <w:rPr>
                <w:rFonts w:ascii="Calibri" w:hAnsi="Calibri"/>
                <w:szCs w:val="22"/>
              </w:rPr>
              <w:t xml:space="preserve"> </w:t>
            </w:r>
            <w:r w:rsidR="00F70ECD">
              <w:rPr>
                <w:rFonts w:ascii="Calibri" w:hAnsi="Calibri"/>
                <w:szCs w:val="22"/>
              </w:rPr>
              <w:t xml:space="preserve">to </w:t>
            </w:r>
            <w:r w:rsidR="00BE6BA1">
              <w:rPr>
                <w:rFonts w:ascii="Calibri" w:hAnsi="Calibri"/>
                <w:szCs w:val="22"/>
              </w:rPr>
              <w:t xml:space="preserve">regularise the </w:t>
            </w:r>
            <w:r w:rsidR="00453B8E">
              <w:rPr>
                <w:rFonts w:ascii="Calibri" w:hAnsi="Calibri"/>
                <w:szCs w:val="22"/>
              </w:rPr>
              <w:t xml:space="preserve">use of buildings and land </w:t>
            </w:r>
            <w:r w:rsidR="0056180B">
              <w:rPr>
                <w:rFonts w:ascii="Calibri" w:hAnsi="Calibri"/>
                <w:szCs w:val="22"/>
              </w:rPr>
              <w:t>within the red line boundary. Paragraph 2.5 of the supporting statement states that ‘T</w:t>
            </w:r>
            <w:r w:rsidR="0056180B" w:rsidRPr="0056180B">
              <w:rPr>
                <w:rFonts w:ascii="Calibri" w:hAnsi="Calibri"/>
                <w:szCs w:val="22"/>
              </w:rPr>
              <w:t>his Planning Statement, Appendices and application enclosures incorporating the evidence prove the Applicant has used the land subject to this</w:t>
            </w:r>
            <w:r w:rsidR="0056180B">
              <w:rPr>
                <w:rFonts w:ascii="Calibri" w:hAnsi="Calibri"/>
                <w:szCs w:val="22"/>
              </w:rPr>
              <w:t xml:space="preserve"> </w:t>
            </w:r>
            <w:r w:rsidR="0056180B" w:rsidRPr="0056180B">
              <w:rPr>
                <w:rFonts w:ascii="Calibri" w:hAnsi="Calibri"/>
                <w:szCs w:val="22"/>
              </w:rPr>
              <w:t>application for commercial use in excess of 10 continuous years.</w:t>
            </w:r>
            <w:r w:rsidR="0056180B">
              <w:rPr>
                <w:rFonts w:ascii="Calibri" w:hAnsi="Calibri"/>
                <w:szCs w:val="22"/>
              </w:rPr>
              <w:t>’.</w:t>
            </w:r>
          </w:p>
          <w:p w14:paraId="6C68BAF9" w14:textId="77777777" w:rsidR="0056180B" w:rsidRDefault="0056180B" w:rsidP="0056180B">
            <w:pPr>
              <w:rPr>
                <w:rFonts w:ascii="Calibri" w:hAnsi="Calibri"/>
                <w:bCs/>
                <w:szCs w:val="22"/>
              </w:rPr>
            </w:pPr>
          </w:p>
          <w:p w14:paraId="6265177F" w14:textId="0EE38B24" w:rsidR="00A5364F" w:rsidRPr="00A303EE" w:rsidRDefault="0056180B" w:rsidP="0056180B">
            <w:pPr>
              <w:rPr>
                <w:rFonts w:ascii="Calibri" w:hAnsi="Calibri"/>
                <w:szCs w:val="22"/>
              </w:rPr>
            </w:pPr>
            <w:r>
              <w:rPr>
                <w:rFonts w:ascii="Calibri" w:hAnsi="Calibri"/>
                <w:bCs/>
                <w:szCs w:val="22"/>
              </w:rPr>
              <w:t xml:space="preserve">As submitted within the application form, the applicant considers there has been a material </w:t>
            </w:r>
            <w:r w:rsidR="002900C5">
              <w:rPr>
                <w:rFonts w:ascii="Calibri" w:hAnsi="Calibri"/>
                <w:bCs/>
                <w:szCs w:val="22"/>
              </w:rPr>
              <w:t>change</w:t>
            </w:r>
            <w:r>
              <w:rPr>
                <w:rFonts w:ascii="Calibri" w:hAnsi="Calibri"/>
                <w:bCs/>
                <w:szCs w:val="22"/>
              </w:rPr>
              <w:t xml:space="preserve"> of use in the land from agriculture to Use Class B8 (Storage and Distribution)</w:t>
            </w:r>
            <w:r w:rsidR="00453B8E">
              <w:rPr>
                <w:rFonts w:ascii="Calibri" w:hAnsi="Calibri"/>
                <w:bCs/>
                <w:szCs w:val="22"/>
              </w:rPr>
              <w:t>.</w:t>
            </w:r>
            <w:r w:rsidR="00BE6BA1">
              <w:rPr>
                <w:rFonts w:ascii="Calibri" w:hAnsi="Calibri"/>
                <w:bCs/>
                <w:szCs w:val="22"/>
              </w:rPr>
              <w:t xml:space="preserve"> </w:t>
            </w:r>
            <w:r w:rsidR="00A5364F" w:rsidRPr="00A5364F">
              <w:rPr>
                <w:rFonts w:ascii="Calibri" w:hAnsi="Calibri"/>
                <w:bCs/>
                <w:szCs w:val="22"/>
              </w:rPr>
              <w:t>As such, the applicant seeks confirmation of the above in the form of a Lawful Development Certificate.</w:t>
            </w:r>
          </w:p>
          <w:p w14:paraId="1B20488F" w14:textId="26BF9170" w:rsidR="00105930" w:rsidRPr="00D54E67" w:rsidRDefault="00105930" w:rsidP="00105930">
            <w:pPr>
              <w:rPr>
                <w:rFonts w:ascii="Calibri" w:hAnsi="Calibri"/>
                <w:szCs w:val="22"/>
              </w:rPr>
            </w:pPr>
          </w:p>
        </w:tc>
      </w:tr>
      <w:tr w:rsidR="006F22AC" w:rsidRPr="00D2449B" w14:paraId="0172D11E" w14:textId="77777777" w:rsidTr="00D7793B">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747948" w14:textId="77777777" w:rsidR="006F22AC" w:rsidRDefault="006F22AC" w:rsidP="00440CB6">
            <w:pPr>
              <w:pStyle w:val="Header"/>
              <w:tabs>
                <w:tab w:val="clear" w:pos="4153"/>
                <w:tab w:val="clear" w:pos="8306"/>
              </w:tabs>
              <w:jc w:val="both"/>
              <w:rPr>
                <w:rFonts w:ascii="Calibri" w:hAnsi="Calibri"/>
                <w:b/>
                <w:szCs w:val="22"/>
              </w:rPr>
            </w:pPr>
            <w:r>
              <w:rPr>
                <w:rFonts w:ascii="Calibri" w:hAnsi="Calibri"/>
                <w:b/>
                <w:szCs w:val="22"/>
              </w:rPr>
              <w:t>Submitted Evidence:</w:t>
            </w:r>
          </w:p>
          <w:p w14:paraId="2D7651D8" w14:textId="77777777" w:rsidR="006F22AC" w:rsidRDefault="006F22AC" w:rsidP="00440CB6">
            <w:pPr>
              <w:pStyle w:val="Header"/>
              <w:tabs>
                <w:tab w:val="clear" w:pos="4153"/>
                <w:tab w:val="clear" w:pos="8306"/>
              </w:tabs>
              <w:jc w:val="both"/>
              <w:rPr>
                <w:rFonts w:ascii="Calibri" w:hAnsi="Calibri"/>
                <w:b/>
                <w:szCs w:val="22"/>
              </w:rPr>
            </w:pPr>
          </w:p>
          <w:p w14:paraId="6B629B41" w14:textId="77777777" w:rsidR="006F22AC" w:rsidRPr="006F22AC" w:rsidRDefault="006F22AC" w:rsidP="006F22AC">
            <w:pPr>
              <w:pStyle w:val="Header"/>
              <w:numPr>
                <w:ilvl w:val="0"/>
                <w:numId w:val="13"/>
              </w:numPr>
              <w:tabs>
                <w:tab w:val="clear" w:pos="4153"/>
                <w:tab w:val="clear" w:pos="8306"/>
              </w:tabs>
              <w:jc w:val="both"/>
              <w:rPr>
                <w:rFonts w:ascii="Calibri" w:hAnsi="Calibri"/>
                <w:b/>
                <w:szCs w:val="22"/>
              </w:rPr>
            </w:pPr>
            <w:r>
              <w:rPr>
                <w:rFonts w:ascii="Calibri" w:hAnsi="Calibri"/>
                <w:bCs/>
                <w:szCs w:val="22"/>
              </w:rPr>
              <w:t>Site Location Plan (Appendix 1)</w:t>
            </w:r>
          </w:p>
          <w:p w14:paraId="1A3BE242" w14:textId="77777777" w:rsidR="006F22AC" w:rsidRPr="006F22AC" w:rsidRDefault="006F22AC" w:rsidP="006F22AC">
            <w:pPr>
              <w:pStyle w:val="Header"/>
              <w:numPr>
                <w:ilvl w:val="0"/>
                <w:numId w:val="13"/>
              </w:numPr>
              <w:tabs>
                <w:tab w:val="clear" w:pos="4153"/>
                <w:tab w:val="clear" w:pos="8306"/>
              </w:tabs>
              <w:jc w:val="both"/>
              <w:rPr>
                <w:rFonts w:ascii="Calibri" w:hAnsi="Calibri"/>
                <w:bCs/>
                <w:szCs w:val="22"/>
              </w:rPr>
            </w:pPr>
            <w:r w:rsidRPr="006F22AC">
              <w:rPr>
                <w:rFonts w:ascii="Calibri" w:hAnsi="Calibri"/>
                <w:bCs/>
                <w:szCs w:val="22"/>
              </w:rPr>
              <w:t xml:space="preserve">Statutory Declaration from Zac </w:t>
            </w:r>
            <w:proofErr w:type="spellStart"/>
            <w:r w:rsidRPr="006F22AC">
              <w:rPr>
                <w:rFonts w:ascii="Calibri" w:hAnsi="Calibri"/>
                <w:bCs/>
                <w:szCs w:val="22"/>
              </w:rPr>
              <w:t>Colligne</w:t>
            </w:r>
            <w:proofErr w:type="spellEnd"/>
            <w:r w:rsidRPr="006F22AC">
              <w:rPr>
                <w:rFonts w:ascii="Calibri" w:hAnsi="Calibri"/>
                <w:bCs/>
                <w:szCs w:val="22"/>
              </w:rPr>
              <w:t xml:space="preserve"> (applicant) (Appendix 2)</w:t>
            </w:r>
          </w:p>
          <w:p w14:paraId="4313E3E1" w14:textId="77777777" w:rsidR="006F22AC" w:rsidRDefault="006F22AC" w:rsidP="006F22AC">
            <w:pPr>
              <w:pStyle w:val="Header"/>
              <w:numPr>
                <w:ilvl w:val="0"/>
                <w:numId w:val="13"/>
              </w:numPr>
              <w:tabs>
                <w:tab w:val="clear" w:pos="4153"/>
                <w:tab w:val="clear" w:pos="8306"/>
              </w:tabs>
              <w:jc w:val="both"/>
              <w:rPr>
                <w:rFonts w:ascii="Calibri" w:hAnsi="Calibri"/>
                <w:bCs/>
                <w:szCs w:val="22"/>
              </w:rPr>
            </w:pPr>
            <w:r w:rsidRPr="006F22AC">
              <w:rPr>
                <w:rFonts w:ascii="Calibri" w:hAnsi="Calibri"/>
                <w:bCs/>
                <w:szCs w:val="22"/>
              </w:rPr>
              <w:t xml:space="preserve">Statutory Declaration from Jacqueline </w:t>
            </w:r>
            <w:proofErr w:type="spellStart"/>
            <w:r w:rsidRPr="006F22AC">
              <w:rPr>
                <w:rFonts w:ascii="Calibri" w:hAnsi="Calibri"/>
                <w:bCs/>
                <w:szCs w:val="22"/>
              </w:rPr>
              <w:t>Colligne</w:t>
            </w:r>
            <w:proofErr w:type="spellEnd"/>
            <w:r w:rsidRPr="006F22AC">
              <w:rPr>
                <w:rFonts w:ascii="Calibri" w:hAnsi="Calibri"/>
                <w:bCs/>
                <w:szCs w:val="22"/>
              </w:rPr>
              <w:t xml:space="preserve"> </w:t>
            </w:r>
            <w:r w:rsidR="000179A9">
              <w:rPr>
                <w:rFonts w:ascii="Calibri" w:hAnsi="Calibri"/>
                <w:bCs/>
                <w:szCs w:val="22"/>
              </w:rPr>
              <w:t>(</w:t>
            </w:r>
            <w:r w:rsidRPr="006F22AC">
              <w:rPr>
                <w:rFonts w:ascii="Calibri" w:hAnsi="Calibri"/>
                <w:bCs/>
                <w:szCs w:val="22"/>
              </w:rPr>
              <w:t>Appendix 3)</w:t>
            </w:r>
          </w:p>
          <w:p w14:paraId="203C4CFA" w14:textId="53E89EFE" w:rsidR="000179A9" w:rsidRDefault="000179A9" w:rsidP="006F22AC">
            <w:pPr>
              <w:pStyle w:val="Header"/>
              <w:numPr>
                <w:ilvl w:val="0"/>
                <w:numId w:val="13"/>
              </w:numPr>
              <w:tabs>
                <w:tab w:val="clear" w:pos="4153"/>
                <w:tab w:val="clear" w:pos="8306"/>
              </w:tabs>
              <w:jc w:val="both"/>
              <w:rPr>
                <w:rFonts w:ascii="Calibri" w:hAnsi="Calibri"/>
                <w:bCs/>
                <w:szCs w:val="22"/>
              </w:rPr>
            </w:pPr>
            <w:r>
              <w:rPr>
                <w:rFonts w:ascii="Calibri" w:hAnsi="Calibri"/>
                <w:bCs/>
                <w:szCs w:val="22"/>
              </w:rPr>
              <w:t>Statutory Declaration from Andrew Shuttleworth (Appendix 4)</w:t>
            </w:r>
          </w:p>
          <w:p w14:paraId="64299680" w14:textId="4BC6E118" w:rsidR="000179A9" w:rsidRDefault="000179A9" w:rsidP="006F22AC">
            <w:pPr>
              <w:pStyle w:val="Header"/>
              <w:numPr>
                <w:ilvl w:val="0"/>
                <w:numId w:val="13"/>
              </w:numPr>
              <w:tabs>
                <w:tab w:val="clear" w:pos="4153"/>
                <w:tab w:val="clear" w:pos="8306"/>
              </w:tabs>
              <w:jc w:val="both"/>
              <w:rPr>
                <w:rFonts w:ascii="Calibri" w:hAnsi="Calibri"/>
                <w:bCs/>
                <w:szCs w:val="22"/>
              </w:rPr>
            </w:pPr>
            <w:r>
              <w:rPr>
                <w:rFonts w:ascii="Calibri" w:hAnsi="Calibri"/>
                <w:bCs/>
                <w:szCs w:val="22"/>
              </w:rPr>
              <w:t>Statutory Declaration from Carmel Harding (Appendix 5)</w:t>
            </w:r>
          </w:p>
          <w:p w14:paraId="712D2A48" w14:textId="1458F759" w:rsidR="000179A9" w:rsidRDefault="000179A9" w:rsidP="006F22AC">
            <w:pPr>
              <w:pStyle w:val="Header"/>
              <w:numPr>
                <w:ilvl w:val="0"/>
                <w:numId w:val="13"/>
              </w:numPr>
              <w:tabs>
                <w:tab w:val="clear" w:pos="4153"/>
                <w:tab w:val="clear" w:pos="8306"/>
              </w:tabs>
              <w:jc w:val="both"/>
              <w:rPr>
                <w:rFonts w:ascii="Calibri" w:hAnsi="Calibri"/>
                <w:bCs/>
                <w:szCs w:val="22"/>
              </w:rPr>
            </w:pPr>
            <w:r>
              <w:rPr>
                <w:rFonts w:ascii="Calibri" w:hAnsi="Calibri"/>
                <w:bCs/>
                <w:szCs w:val="22"/>
              </w:rPr>
              <w:t>Statutory Declaration from Dennis Elliot (Appendix 6)</w:t>
            </w:r>
          </w:p>
          <w:p w14:paraId="58283CC7" w14:textId="0A5F3159" w:rsidR="000179A9" w:rsidRDefault="000179A9" w:rsidP="006F22AC">
            <w:pPr>
              <w:pStyle w:val="Header"/>
              <w:numPr>
                <w:ilvl w:val="0"/>
                <w:numId w:val="13"/>
              </w:numPr>
              <w:tabs>
                <w:tab w:val="clear" w:pos="4153"/>
                <w:tab w:val="clear" w:pos="8306"/>
              </w:tabs>
              <w:jc w:val="both"/>
              <w:rPr>
                <w:rFonts w:ascii="Calibri" w:hAnsi="Calibri"/>
                <w:bCs/>
                <w:szCs w:val="22"/>
              </w:rPr>
            </w:pPr>
            <w:r>
              <w:rPr>
                <w:rFonts w:ascii="Calibri" w:hAnsi="Calibri"/>
                <w:bCs/>
                <w:szCs w:val="22"/>
              </w:rPr>
              <w:t>Statutory Declaration from Sean Marsden (Appendix 7)</w:t>
            </w:r>
          </w:p>
          <w:p w14:paraId="2AE09B76" w14:textId="77777777" w:rsidR="000179A9" w:rsidRDefault="000179A9" w:rsidP="006F22AC">
            <w:pPr>
              <w:pStyle w:val="Header"/>
              <w:numPr>
                <w:ilvl w:val="0"/>
                <w:numId w:val="13"/>
              </w:numPr>
              <w:tabs>
                <w:tab w:val="clear" w:pos="4153"/>
                <w:tab w:val="clear" w:pos="8306"/>
              </w:tabs>
              <w:jc w:val="both"/>
              <w:rPr>
                <w:rFonts w:ascii="Calibri" w:hAnsi="Calibri"/>
                <w:bCs/>
                <w:szCs w:val="22"/>
              </w:rPr>
            </w:pPr>
            <w:r>
              <w:rPr>
                <w:rFonts w:ascii="Calibri" w:hAnsi="Calibri"/>
                <w:bCs/>
                <w:szCs w:val="22"/>
              </w:rPr>
              <w:t>Statutory Declaration from David Schofield (Appendix 8)</w:t>
            </w:r>
          </w:p>
          <w:p w14:paraId="39AEC971" w14:textId="70A9E119" w:rsidR="000179A9" w:rsidRPr="006F22AC" w:rsidRDefault="000179A9" w:rsidP="000179A9">
            <w:pPr>
              <w:pStyle w:val="Header"/>
              <w:tabs>
                <w:tab w:val="clear" w:pos="4153"/>
                <w:tab w:val="clear" w:pos="8306"/>
              </w:tabs>
              <w:ind w:left="720"/>
              <w:jc w:val="both"/>
              <w:rPr>
                <w:rFonts w:ascii="Calibri" w:hAnsi="Calibri"/>
                <w:bCs/>
                <w:szCs w:val="22"/>
              </w:rPr>
            </w:pPr>
          </w:p>
        </w:tc>
      </w:tr>
      <w:tr w:rsidR="00C0704D" w:rsidRPr="00D2449B" w14:paraId="617768FF" w14:textId="77777777" w:rsidTr="00D7793B">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20CF70" w14:textId="15B0B64B" w:rsidR="00174FC6" w:rsidRPr="009A2C47" w:rsidRDefault="004227A7" w:rsidP="00174FC6">
            <w:pPr>
              <w:contextualSpacing/>
              <w:jc w:val="both"/>
              <w:rPr>
                <w:rFonts w:ascii="Calibri" w:hAnsi="Calibri"/>
                <w:b/>
                <w:bCs/>
                <w:szCs w:val="22"/>
              </w:rPr>
            </w:pPr>
            <w:r w:rsidRPr="009A2C47">
              <w:rPr>
                <w:rFonts w:ascii="Calibri" w:hAnsi="Calibri"/>
                <w:b/>
                <w:bCs/>
                <w:szCs w:val="22"/>
              </w:rPr>
              <w:t>Assessment of proposal:</w:t>
            </w:r>
          </w:p>
          <w:p w14:paraId="39EC533C" w14:textId="77777777" w:rsidR="00174FC6" w:rsidRPr="009A2C47" w:rsidRDefault="00174FC6" w:rsidP="00105930">
            <w:pPr>
              <w:pStyle w:val="Header"/>
              <w:jc w:val="both"/>
              <w:rPr>
                <w:rFonts w:ascii="Calibri" w:hAnsi="Calibri"/>
                <w:szCs w:val="22"/>
              </w:rPr>
            </w:pPr>
          </w:p>
          <w:p w14:paraId="704ACB5D" w14:textId="77777777" w:rsidR="00B50F3A" w:rsidRPr="009A2C47" w:rsidRDefault="00BB7670" w:rsidP="00BB7670">
            <w:pPr>
              <w:pStyle w:val="Header"/>
              <w:rPr>
                <w:rFonts w:ascii="Calibri" w:hAnsi="Calibri"/>
                <w:bCs/>
                <w:szCs w:val="22"/>
              </w:rPr>
            </w:pPr>
            <w:r w:rsidRPr="009A2C47">
              <w:rPr>
                <w:rFonts w:ascii="Calibri" w:hAnsi="Calibri"/>
                <w:bCs/>
                <w:szCs w:val="22"/>
              </w:rPr>
              <w:t xml:space="preserve">The lawfulness of the existing use in question rests upon a detailed assessment of the supporting information provided as part of the application in relation to the provisions of Section 171(B) of the </w:t>
            </w:r>
            <w:r w:rsidR="00C706E4" w:rsidRPr="009A2C47">
              <w:rPr>
                <w:rFonts w:ascii="Calibri" w:hAnsi="Calibri"/>
                <w:bCs/>
                <w:szCs w:val="22"/>
              </w:rPr>
              <w:t>Town and Country Planning Act (1990)</w:t>
            </w:r>
            <w:r w:rsidR="00B50F3A" w:rsidRPr="009A2C47">
              <w:rPr>
                <w:rFonts w:ascii="Calibri" w:hAnsi="Calibri"/>
                <w:bCs/>
                <w:szCs w:val="22"/>
              </w:rPr>
              <w:t xml:space="preserve"> (the Act). </w:t>
            </w:r>
          </w:p>
          <w:p w14:paraId="4B69ED85" w14:textId="77777777" w:rsidR="00B50F3A" w:rsidRPr="009A2C47" w:rsidRDefault="00B50F3A" w:rsidP="00BB7670">
            <w:pPr>
              <w:pStyle w:val="Header"/>
              <w:rPr>
                <w:rFonts w:ascii="Calibri" w:hAnsi="Calibri"/>
                <w:bCs/>
                <w:szCs w:val="22"/>
              </w:rPr>
            </w:pPr>
          </w:p>
          <w:p w14:paraId="42AD3F9D" w14:textId="0068B164" w:rsidR="00BB7670" w:rsidRPr="009A2C47" w:rsidRDefault="00BB7670" w:rsidP="00BB7670">
            <w:pPr>
              <w:pStyle w:val="Header"/>
              <w:rPr>
                <w:rFonts w:ascii="Calibri" w:hAnsi="Calibri"/>
                <w:bCs/>
                <w:szCs w:val="22"/>
              </w:rPr>
            </w:pPr>
            <w:r w:rsidRPr="009A2C47">
              <w:rPr>
                <w:rFonts w:ascii="Calibri" w:hAnsi="Calibri"/>
                <w:bCs/>
                <w:szCs w:val="22"/>
              </w:rPr>
              <w:t>Section 171(B) of the Act provides timescales whereby unauthorised development becomes immune from enforcement action and as such becomes lawful as follows:</w:t>
            </w:r>
          </w:p>
          <w:p w14:paraId="0B6E3844" w14:textId="77777777" w:rsidR="00BB7670" w:rsidRPr="009A2C47" w:rsidRDefault="00BB7670" w:rsidP="00BB7670">
            <w:pPr>
              <w:pStyle w:val="Header"/>
              <w:rPr>
                <w:rFonts w:ascii="Calibri" w:hAnsi="Calibri"/>
                <w:szCs w:val="22"/>
                <w:u w:val="single"/>
              </w:rPr>
            </w:pPr>
          </w:p>
          <w:p w14:paraId="0DD68C22" w14:textId="042ECD25" w:rsidR="005A15A5" w:rsidRPr="009A2C47" w:rsidRDefault="005A15A5" w:rsidP="005A15A5">
            <w:pPr>
              <w:pStyle w:val="Header"/>
              <w:rPr>
                <w:rFonts w:ascii="Calibri" w:hAnsi="Calibri"/>
                <w:bCs/>
                <w:i/>
                <w:iCs/>
                <w:szCs w:val="22"/>
              </w:rPr>
            </w:pPr>
            <w:r w:rsidRPr="009A2C47">
              <w:rPr>
                <w:rFonts w:ascii="Calibri" w:hAnsi="Calibri"/>
                <w:bCs/>
                <w:i/>
                <w:iCs/>
                <w:szCs w:val="22"/>
              </w:rPr>
              <w:t>(1) Where there has been a breach of planning control consisting in the carrying out without planning permission of building, engineering, mining or other operations in, on, over or under land, no enforcement action may be taken after the end of the period of—</w:t>
            </w:r>
          </w:p>
          <w:p w14:paraId="795A036F" w14:textId="77777777" w:rsidR="005A15A5" w:rsidRPr="009A2C47" w:rsidRDefault="005A15A5" w:rsidP="005A15A5">
            <w:pPr>
              <w:pStyle w:val="Header"/>
              <w:rPr>
                <w:rFonts w:ascii="Calibri" w:hAnsi="Calibri"/>
                <w:bCs/>
                <w:i/>
                <w:iCs/>
                <w:szCs w:val="22"/>
              </w:rPr>
            </w:pPr>
          </w:p>
          <w:p w14:paraId="7ACAB157" w14:textId="0B0F0AA7" w:rsidR="005A15A5" w:rsidRPr="009A2C47" w:rsidRDefault="005A15A5" w:rsidP="005A15A5">
            <w:pPr>
              <w:pStyle w:val="Header"/>
              <w:ind w:left="720"/>
              <w:rPr>
                <w:rFonts w:ascii="Calibri" w:hAnsi="Calibri"/>
                <w:bCs/>
                <w:i/>
                <w:iCs/>
                <w:szCs w:val="22"/>
              </w:rPr>
            </w:pPr>
            <w:r w:rsidRPr="009A2C47">
              <w:rPr>
                <w:rFonts w:ascii="Calibri" w:hAnsi="Calibri"/>
                <w:bCs/>
                <w:i/>
                <w:iCs/>
                <w:szCs w:val="22"/>
              </w:rPr>
              <w:t>(a) in the case of a breach of planning control in England, ten years beginning with the date on which the operations were substantially completed, and</w:t>
            </w:r>
          </w:p>
          <w:p w14:paraId="4A286748" w14:textId="77777777" w:rsidR="005A15A5" w:rsidRPr="009A2C47" w:rsidRDefault="005A15A5" w:rsidP="005A15A5">
            <w:pPr>
              <w:pStyle w:val="Header"/>
              <w:rPr>
                <w:rFonts w:ascii="Calibri" w:hAnsi="Calibri"/>
                <w:bCs/>
                <w:i/>
                <w:iCs/>
                <w:szCs w:val="22"/>
              </w:rPr>
            </w:pPr>
          </w:p>
          <w:p w14:paraId="7586D69B" w14:textId="77412F74" w:rsidR="005A15A5" w:rsidRPr="009A2C47" w:rsidRDefault="005A15A5" w:rsidP="005A15A5">
            <w:pPr>
              <w:pStyle w:val="Header"/>
              <w:rPr>
                <w:rFonts w:ascii="Calibri" w:hAnsi="Calibri"/>
                <w:bCs/>
                <w:i/>
                <w:iCs/>
                <w:szCs w:val="22"/>
              </w:rPr>
            </w:pPr>
            <w:r w:rsidRPr="009A2C47">
              <w:rPr>
                <w:rFonts w:ascii="Calibri" w:hAnsi="Calibri"/>
                <w:bCs/>
                <w:i/>
                <w:iCs/>
                <w:szCs w:val="22"/>
              </w:rPr>
              <w:t>(2) Where there has been a breach of planning control consisting in the change of use of any building to use as a single dwellinghouse, no enforcement action may be taken after the end of the period of—</w:t>
            </w:r>
          </w:p>
          <w:p w14:paraId="50E3EBEC" w14:textId="33B22497" w:rsidR="005A15A5" w:rsidRPr="009A2C47" w:rsidRDefault="005A15A5" w:rsidP="005A15A5">
            <w:pPr>
              <w:pStyle w:val="Header"/>
              <w:ind w:left="720"/>
              <w:rPr>
                <w:rFonts w:ascii="Calibri" w:hAnsi="Calibri"/>
                <w:bCs/>
                <w:i/>
                <w:iCs/>
                <w:szCs w:val="22"/>
              </w:rPr>
            </w:pPr>
            <w:r w:rsidRPr="009A2C47">
              <w:rPr>
                <w:rFonts w:ascii="Calibri" w:hAnsi="Calibri"/>
                <w:bCs/>
                <w:i/>
                <w:iCs/>
                <w:szCs w:val="22"/>
              </w:rPr>
              <w:t>(a) in the case of a breach of planning control in England, ten years beginning with the date of the breach</w:t>
            </w:r>
          </w:p>
          <w:p w14:paraId="32B8B2EA" w14:textId="77777777" w:rsidR="005A15A5" w:rsidRPr="009A2C47" w:rsidRDefault="005A15A5" w:rsidP="005A15A5">
            <w:pPr>
              <w:pStyle w:val="Header"/>
              <w:ind w:left="720"/>
              <w:rPr>
                <w:rFonts w:ascii="Calibri" w:hAnsi="Calibri"/>
                <w:bCs/>
                <w:i/>
                <w:iCs/>
                <w:szCs w:val="22"/>
              </w:rPr>
            </w:pPr>
          </w:p>
          <w:p w14:paraId="13A2874F" w14:textId="1C2F03D3" w:rsidR="005A15A5" w:rsidRPr="009A2C47" w:rsidRDefault="005A15A5" w:rsidP="005A15A5">
            <w:pPr>
              <w:pStyle w:val="Header"/>
              <w:rPr>
                <w:rFonts w:ascii="Calibri" w:hAnsi="Calibri"/>
                <w:bCs/>
                <w:i/>
                <w:iCs/>
                <w:szCs w:val="22"/>
              </w:rPr>
            </w:pPr>
            <w:r w:rsidRPr="009A2C47">
              <w:rPr>
                <w:rFonts w:ascii="Calibri" w:hAnsi="Calibri"/>
                <w:bCs/>
                <w:i/>
                <w:iCs/>
                <w:szCs w:val="22"/>
              </w:rPr>
              <w:t>(3) In the case of any other breach of planning control, no enforcement action may be taken after the end of the period of ten years beginning with the date of the breach.</w:t>
            </w:r>
          </w:p>
          <w:p w14:paraId="33FCF90C" w14:textId="77777777" w:rsidR="005A15A5" w:rsidRPr="009A2C47" w:rsidRDefault="005A15A5" w:rsidP="00752E03">
            <w:pPr>
              <w:pStyle w:val="Header"/>
              <w:rPr>
                <w:rFonts w:ascii="Calibri" w:hAnsi="Calibri"/>
                <w:bCs/>
                <w:szCs w:val="22"/>
              </w:rPr>
            </w:pPr>
          </w:p>
          <w:p w14:paraId="0F410EF1" w14:textId="7025D5BD" w:rsidR="006F22AC" w:rsidRDefault="00B142CC" w:rsidP="006F22AC">
            <w:pPr>
              <w:pStyle w:val="Header"/>
              <w:rPr>
                <w:rFonts w:ascii="Calibri" w:hAnsi="Calibri"/>
                <w:bCs/>
                <w:szCs w:val="22"/>
              </w:rPr>
            </w:pPr>
            <w:r w:rsidRPr="00B142CC">
              <w:rPr>
                <w:rFonts w:ascii="Calibri" w:hAnsi="Calibri"/>
                <w:bCs/>
                <w:szCs w:val="22"/>
              </w:rPr>
              <w:lastRenderedPageBreak/>
              <w:t xml:space="preserve">In this instance, it is the applicant’s claim </w:t>
            </w:r>
            <w:r w:rsidR="008C6CF1" w:rsidRPr="009A2C47">
              <w:rPr>
                <w:rFonts w:ascii="Calibri" w:hAnsi="Calibri"/>
                <w:bCs/>
                <w:szCs w:val="22"/>
              </w:rPr>
              <w:t xml:space="preserve">that the buildings and land </w:t>
            </w:r>
            <w:r w:rsidR="0056180B">
              <w:rPr>
                <w:rFonts w:ascii="Calibri" w:hAnsi="Calibri"/>
                <w:bCs/>
                <w:szCs w:val="22"/>
              </w:rPr>
              <w:t>outlined within the red line boundary</w:t>
            </w:r>
            <w:r w:rsidR="008C6CF1" w:rsidRPr="009A2C47">
              <w:rPr>
                <w:rFonts w:ascii="Calibri" w:hAnsi="Calibri"/>
                <w:bCs/>
                <w:szCs w:val="22"/>
              </w:rPr>
              <w:t xml:space="preserve"> have been </w:t>
            </w:r>
            <w:r w:rsidR="0056180B">
              <w:rPr>
                <w:rFonts w:ascii="Calibri" w:hAnsi="Calibri"/>
                <w:bCs/>
                <w:szCs w:val="22"/>
              </w:rPr>
              <w:t xml:space="preserve">in commercial use (Class B8 Storage </w:t>
            </w:r>
            <w:r w:rsidR="008C6CF1" w:rsidRPr="009A2C47">
              <w:rPr>
                <w:rFonts w:ascii="Calibri" w:hAnsi="Calibri"/>
                <w:bCs/>
                <w:szCs w:val="22"/>
              </w:rPr>
              <w:t>an</w:t>
            </w:r>
            <w:r w:rsidR="006F22AC">
              <w:rPr>
                <w:rFonts w:ascii="Calibri" w:hAnsi="Calibri"/>
                <w:bCs/>
                <w:szCs w:val="22"/>
              </w:rPr>
              <w:t>d distribution)</w:t>
            </w:r>
            <w:r w:rsidR="008C6CF1" w:rsidRPr="009A2C47">
              <w:rPr>
                <w:rFonts w:ascii="Calibri" w:hAnsi="Calibri"/>
                <w:bCs/>
                <w:szCs w:val="22"/>
              </w:rPr>
              <w:t xml:space="preserve"> for a continuous period </w:t>
            </w:r>
            <w:proofErr w:type="gramStart"/>
            <w:r w:rsidR="008C6CF1" w:rsidRPr="009A2C47">
              <w:rPr>
                <w:rFonts w:ascii="Calibri" w:hAnsi="Calibri"/>
                <w:bCs/>
                <w:szCs w:val="22"/>
              </w:rPr>
              <w:t>in excess of</w:t>
            </w:r>
            <w:proofErr w:type="gramEnd"/>
            <w:r w:rsidR="008C6CF1" w:rsidRPr="009A2C47">
              <w:rPr>
                <w:rFonts w:ascii="Calibri" w:hAnsi="Calibri"/>
                <w:bCs/>
                <w:szCs w:val="22"/>
              </w:rPr>
              <w:t xml:space="preserve"> ten years </w:t>
            </w:r>
            <w:r w:rsidR="006F22AC">
              <w:rPr>
                <w:rFonts w:ascii="Calibri" w:hAnsi="Calibri"/>
                <w:bCs/>
                <w:szCs w:val="22"/>
              </w:rPr>
              <w:t xml:space="preserve">before the date of this application. Although paragraph 2.2 of the supporting statement indicates that since the </w:t>
            </w:r>
            <w:r w:rsidR="002900C5">
              <w:rPr>
                <w:rFonts w:ascii="Calibri" w:hAnsi="Calibri"/>
                <w:bCs/>
                <w:szCs w:val="22"/>
              </w:rPr>
              <w:t>applicants’</w:t>
            </w:r>
            <w:r w:rsidR="006F22AC" w:rsidRPr="006F22AC">
              <w:rPr>
                <w:rFonts w:ascii="Calibri" w:hAnsi="Calibri"/>
                <w:bCs/>
                <w:szCs w:val="22"/>
              </w:rPr>
              <w:t xml:space="preserve"> parents purchased the site in 1988, the use of agriculture ceased</w:t>
            </w:r>
            <w:r w:rsidR="006F22AC">
              <w:rPr>
                <w:rFonts w:ascii="Calibri" w:hAnsi="Calibri"/>
                <w:bCs/>
                <w:szCs w:val="22"/>
              </w:rPr>
              <w:t xml:space="preserve"> and the site</w:t>
            </w:r>
            <w:r w:rsidR="006F22AC" w:rsidRPr="006F22AC">
              <w:rPr>
                <w:rFonts w:ascii="Calibri" w:hAnsi="Calibri"/>
                <w:bCs/>
                <w:szCs w:val="22"/>
              </w:rPr>
              <w:t xml:space="preserve"> and particularly the barn has been used for </w:t>
            </w:r>
            <w:proofErr w:type="gramStart"/>
            <w:r w:rsidR="006F22AC" w:rsidRPr="006F22AC">
              <w:rPr>
                <w:rFonts w:ascii="Calibri" w:hAnsi="Calibri"/>
                <w:bCs/>
                <w:szCs w:val="22"/>
              </w:rPr>
              <w:t>a number</w:t>
            </w:r>
            <w:r w:rsidR="006F22AC">
              <w:rPr>
                <w:rFonts w:ascii="Calibri" w:hAnsi="Calibri"/>
                <w:bCs/>
                <w:szCs w:val="22"/>
              </w:rPr>
              <w:t xml:space="preserve"> </w:t>
            </w:r>
            <w:r w:rsidR="006F22AC" w:rsidRPr="006F22AC">
              <w:rPr>
                <w:rFonts w:ascii="Calibri" w:hAnsi="Calibri"/>
                <w:bCs/>
                <w:szCs w:val="22"/>
              </w:rPr>
              <w:t>of</w:t>
            </w:r>
            <w:proofErr w:type="gramEnd"/>
            <w:r w:rsidR="006F22AC" w:rsidRPr="006F22AC">
              <w:rPr>
                <w:rFonts w:ascii="Calibri" w:hAnsi="Calibri"/>
                <w:bCs/>
                <w:szCs w:val="22"/>
              </w:rPr>
              <w:t xml:space="preserve"> purposes in conjunction, those being a car hire business ‘Cars for all occasions’, commercial storage, residential storage, workshop and commercial</w:t>
            </w:r>
            <w:r w:rsidR="006F22AC">
              <w:rPr>
                <w:rFonts w:ascii="Calibri" w:hAnsi="Calibri"/>
                <w:bCs/>
                <w:szCs w:val="22"/>
              </w:rPr>
              <w:t xml:space="preserve"> </w:t>
            </w:r>
            <w:r w:rsidR="006F22AC" w:rsidRPr="006F22AC">
              <w:rPr>
                <w:rFonts w:ascii="Calibri" w:hAnsi="Calibri"/>
                <w:bCs/>
                <w:szCs w:val="22"/>
              </w:rPr>
              <w:t>equestrian facilities.</w:t>
            </w:r>
          </w:p>
          <w:p w14:paraId="306A4FFF" w14:textId="77777777" w:rsidR="006F22AC" w:rsidRDefault="006F22AC" w:rsidP="006F22AC">
            <w:pPr>
              <w:pStyle w:val="Header"/>
              <w:rPr>
                <w:rFonts w:ascii="Calibri" w:hAnsi="Calibri"/>
                <w:bCs/>
                <w:szCs w:val="22"/>
              </w:rPr>
            </w:pPr>
          </w:p>
          <w:p w14:paraId="2B129588" w14:textId="798BC50C" w:rsidR="00B142CC" w:rsidRPr="00B142CC" w:rsidRDefault="008C6CF1" w:rsidP="006F22AC">
            <w:pPr>
              <w:pStyle w:val="Header"/>
              <w:rPr>
                <w:rFonts w:ascii="Calibri" w:hAnsi="Calibri"/>
                <w:bCs/>
                <w:szCs w:val="22"/>
              </w:rPr>
            </w:pPr>
            <w:r w:rsidRPr="009A2C47">
              <w:rPr>
                <w:rFonts w:ascii="Calibri" w:hAnsi="Calibri"/>
                <w:bCs/>
                <w:szCs w:val="22"/>
              </w:rPr>
              <w:t>Accordingly,</w:t>
            </w:r>
            <w:r w:rsidR="00B142CC" w:rsidRPr="00B142CC">
              <w:rPr>
                <w:rFonts w:ascii="Calibri" w:hAnsi="Calibri"/>
                <w:bCs/>
                <w:szCs w:val="22"/>
              </w:rPr>
              <w:t xml:space="preserve"> the lawfulness of the existing use in question rests upon a detailed assessment of the supporting information provided as part of the application in relation to the provisions of Section 171(B) (</w:t>
            </w:r>
            <w:r w:rsidRPr="009A2C47">
              <w:rPr>
                <w:rFonts w:ascii="Calibri" w:hAnsi="Calibri"/>
                <w:bCs/>
                <w:szCs w:val="22"/>
              </w:rPr>
              <w:t>3</w:t>
            </w:r>
            <w:r w:rsidR="00B142CC" w:rsidRPr="00B142CC">
              <w:rPr>
                <w:rFonts w:ascii="Calibri" w:hAnsi="Calibri"/>
                <w:bCs/>
                <w:szCs w:val="22"/>
              </w:rPr>
              <w:t xml:space="preserve">) of the Town and Country Planning Act (1990) (the Act). </w:t>
            </w:r>
          </w:p>
          <w:p w14:paraId="02039AC9" w14:textId="77777777" w:rsidR="00AB038C" w:rsidRDefault="00AB038C" w:rsidP="00945CF1">
            <w:pPr>
              <w:pStyle w:val="Header"/>
              <w:rPr>
                <w:rFonts w:ascii="Calibri" w:hAnsi="Calibri"/>
                <w:bCs/>
                <w:szCs w:val="22"/>
              </w:rPr>
            </w:pPr>
          </w:p>
          <w:p w14:paraId="3E304CB6" w14:textId="320196D1" w:rsidR="00945CF1" w:rsidRPr="009A2C47" w:rsidRDefault="00945CF1" w:rsidP="00945CF1">
            <w:pPr>
              <w:pStyle w:val="Header"/>
              <w:rPr>
                <w:rFonts w:ascii="Calibri" w:hAnsi="Calibri"/>
                <w:bCs/>
                <w:szCs w:val="22"/>
              </w:rPr>
            </w:pPr>
            <w:r w:rsidRPr="009A2C47">
              <w:rPr>
                <w:rFonts w:ascii="Calibri" w:hAnsi="Calibri"/>
                <w:bCs/>
                <w:szCs w:val="22"/>
              </w:rPr>
              <w:t>National Planning Practice Guidance states:</w:t>
            </w:r>
          </w:p>
          <w:p w14:paraId="7E559BF1" w14:textId="77777777" w:rsidR="002900C5" w:rsidRDefault="002900C5" w:rsidP="00945CF1">
            <w:pPr>
              <w:pStyle w:val="Header"/>
              <w:rPr>
                <w:rFonts w:ascii="Calibri" w:hAnsi="Calibri"/>
                <w:bCs/>
                <w:i/>
                <w:iCs/>
                <w:szCs w:val="22"/>
              </w:rPr>
            </w:pPr>
          </w:p>
          <w:p w14:paraId="1BB18B56" w14:textId="76859943" w:rsidR="00945CF1" w:rsidRPr="009A2C47" w:rsidRDefault="00945CF1" w:rsidP="00945CF1">
            <w:pPr>
              <w:pStyle w:val="Header"/>
              <w:rPr>
                <w:rFonts w:ascii="Calibri" w:hAnsi="Calibri"/>
                <w:bCs/>
                <w:i/>
                <w:iCs/>
                <w:szCs w:val="22"/>
              </w:rPr>
            </w:pPr>
            <w:r w:rsidRPr="009A2C47">
              <w:rPr>
                <w:rFonts w:ascii="Calibri" w:hAnsi="Calibri"/>
                <w:bCs/>
                <w:i/>
                <w:iCs/>
                <w:szCs w:val="22"/>
              </w:rPr>
              <w:t>‘The applicant is responsible for providing sufficient information to support an application…if a local planning authority has no evidence itself, nor any from others, to contradict or otherwise make the applicant’s version of events less than probable, there is no good reason to refuse the application, provided the applicant’s evidence alone is sufficiently precise and unambiguous to justify the grant of a certificate on the balance of probability.’</w:t>
            </w:r>
          </w:p>
          <w:p w14:paraId="3A685201" w14:textId="77777777" w:rsidR="006A3A22" w:rsidRPr="009A2C47" w:rsidRDefault="006A3A22" w:rsidP="003E6B13">
            <w:pPr>
              <w:pStyle w:val="Header"/>
              <w:rPr>
                <w:rFonts w:ascii="Calibri" w:hAnsi="Calibri"/>
                <w:bCs/>
                <w:szCs w:val="22"/>
              </w:rPr>
            </w:pPr>
          </w:p>
          <w:p w14:paraId="46CFCB53" w14:textId="5AD0B531" w:rsidR="0002762F" w:rsidRPr="0002762F" w:rsidRDefault="0002762F" w:rsidP="005A15A5">
            <w:pPr>
              <w:pStyle w:val="Header"/>
              <w:rPr>
                <w:rFonts w:ascii="Calibri" w:hAnsi="Calibri"/>
                <w:bCs/>
                <w:szCs w:val="22"/>
              </w:rPr>
            </w:pPr>
            <w:r w:rsidRPr="0002762F">
              <w:rPr>
                <w:rFonts w:ascii="Calibri" w:hAnsi="Calibri"/>
                <w:bCs/>
                <w:szCs w:val="22"/>
              </w:rPr>
              <w:t>The submitted supporting statement indicates that the applicant acquired the site from his parents on 21</w:t>
            </w:r>
            <w:r w:rsidRPr="0002762F">
              <w:rPr>
                <w:rFonts w:ascii="Calibri" w:hAnsi="Calibri"/>
                <w:bCs/>
                <w:szCs w:val="22"/>
                <w:vertAlign w:val="superscript"/>
              </w:rPr>
              <w:t>st</w:t>
            </w:r>
            <w:r w:rsidRPr="0002762F">
              <w:rPr>
                <w:rFonts w:ascii="Calibri" w:hAnsi="Calibri"/>
                <w:bCs/>
                <w:szCs w:val="22"/>
              </w:rPr>
              <w:t xml:space="preserve"> September 2022 but has been operating his construction </w:t>
            </w:r>
            <w:r>
              <w:rPr>
                <w:rFonts w:ascii="Calibri" w:hAnsi="Calibri"/>
                <w:bCs/>
                <w:szCs w:val="22"/>
              </w:rPr>
              <w:t>b</w:t>
            </w:r>
            <w:r w:rsidRPr="0002762F">
              <w:rPr>
                <w:rFonts w:ascii="Calibri" w:hAnsi="Calibri"/>
                <w:bCs/>
                <w:szCs w:val="22"/>
              </w:rPr>
              <w:t>usiness since 2018 directly from the site and from within ‘Meadow Brook Barn’.</w:t>
            </w:r>
          </w:p>
          <w:p w14:paraId="2D4052CC" w14:textId="77777777" w:rsidR="0002762F" w:rsidRDefault="0002762F" w:rsidP="005A15A5">
            <w:pPr>
              <w:pStyle w:val="Header"/>
              <w:rPr>
                <w:rFonts w:ascii="Calibri" w:hAnsi="Calibri"/>
                <w:bCs/>
                <w:szCs w:val="22"/>
                <w:highlight w:val="yellow"/>
              </w:rPr>
            </w:pPr>
          </w:p>
          <w:p w14:paraId="16681EF7" w14:textId="77777777" w:rsidR="0002762F" w:rsidRPr="005B7883" w:rsidRDefault="0002762F" w:rsidP="005A15A5">
            <w:pPr>
              <w:pStyle w:val="Header"/>
              <w:rPr>
                <w:rFonts w:ascii="Calibri" w:hAnsi="Calibri"/>
                <w:bCs/>
                <w:szCs w:val="22"/>
              </w:rPr>
            </w:pPr>
            <w:r w:rsidRPr="005B7883">
              <w:rPr>
                <w:rFonts w:ascii="Calibri" w:hAnsi="Calibri"/>
                <w:bCs/>
                <w:szCs w:val="22"/>
              </w:rPr>
              <w:t xml:space="preserve">Taking each of the pieces of evidence in turn, an assessment shall be made as to whether the statutory declarations sufficiently confirm the breach of planning. </w:t>
            </w:r>
          </w:p>
          <w:p w14:paraId="3772B210" w14:textId="77777777" w:rsidR="0002762F" w:rsidRPr="005B7883" w:rsidRDefault="0002762F" w:rsidP="005A15A5">
            <w:pPr>
              <w:pStyle w:val="Header"/>
              <w:rPr>
                <w:rFonts w:ascii="Calibri" w:hAnsi="Calibri"/>
                <w:bCs/>
                <w:szCs w:val="22"/>
              </w:rPr>
            </w:pPr>
          </w:p>
          <w:p w14:paraId="296F104A" w14:textId="218DB9C7" w:rsidR="0002762F" w:rsidRPr="005B7883" w:rsidRDefault="0002762F" w:rsidP="005A15A5">
            <w:pPr>
              <w:pStyle w:val="Header"/>
              <w:rPr>
                <w:rFonts w:ascii="Calibri" w:hAnsi="Calibri"/>
                <w:bCs/>
                <w:szCs w:val="22"/>
              </w:rPr>
            </w:pPr>
            <w:r w:rsidRPr="005B7883">
              <w:rPr>
                <w:rFonts w:ascii="Calibri" w:hAnsi="Calibri"/>
                <w:bCs/>
                <w:szCs w:val="22"/>
              </w:rPr>
              <w:t xml:space="preserve">Appendix 2 is a statutory declaration from the applicant which states that prior to the </w:t>
            </w:r>
            <w:proofErr w:type="gramStart"/>
            <w:r w:rsidRPr="005B7883">
              <w:rPr>
                <w:rFonts w:ascii="Calibri" w:hAnsi="Calibri"/>
                <w:bCs/>
                <w:szCs w:val="22"/>
              </w:rPr>
              <w:t>applicants</w:t>
            </w:r>
            <w:proofErr w:type="gramEnd"/>
            <w:r w:rsidRPr="005B7883">
              <w:rPr>
                <w:rFonts w:ascii="Calibri" w:hAnsi="Calibri"/>
                <w:bCs/>
                <w:szCs w:val="22"/>
              </w:rPr>
              <w:t xml:space="preserve"> ownership, the site was owned by the applicants parents from 1988 until 21 September 2022. In 19</w:t>
            </w:r>
            <w:r w:rsidR="00295C3C">
              <w:rPr>
                <w:rFonts w:ascii="Calibri" w:hAnsi="Calibri"/>
                <w:bCs/>
                <w:szCs w:val="22"/>
              </w:rPr>
              <w:t>8</w:t>
            </w:r>
            <w:r w:rsidRPr="005B7883">
              <w:rPr>
                <w:rFonts w:ascii="Calibri" w:hAnsi="Calibri"/>
                <w:bCs/>
                <w:szCs w:val="22"/>
              </w:rPr>
              <w:t xml:space="preserve">8 the agricultural use </w:t>
            </w:r>
            <w:proofErr w:type="gramStart"/>
            <w:r w:rsidRPr="005B7883">
              <w:rPr>
                <w:rFonts w:ascii="Calibri" w:hAnsi="Calibri"/>
                <w:bCs/>
                <w:szCs w:val="22"/>
              </w:rPr>
              <w:t>ceased</w:t>
            </w:r>
            <w:proofErr w:type="gramEnd"/>
            <w:r w:rsidRPr="005B7883">
              <w:rPr>
                <w:rFonts w:ascii="Calibri" w:hAnsi="Calibri"/>
                <w:bCs/>
                <w:szCs w:val="22"/>
              </w:rPr>
              <w:t xml:space="preserve"> and the building was utilised to operate the business ’Cars for all occasions’ commercial storage, ancillary residential storage and a part workshop. In addition, the declaration states that the applicant has operated his construction business from the site continuously without a break which amounts to </w:t>
            </w:r>
            <w:proofErr w:type="gramStart"/>
            <w:r w:rsidRPr="005B7883">
              <w:rPr>
                <w:rFonts w:ascii="Calibri" w:hAnsi="Calibri"/>
                <w:bCs/>
                <w:szCs w:val="22"/>
              </w:rPr>
              <w:t>in excess of</w:t>
            </w:r>
            <w:proofErr w:type="gramEnd"/>
            <w:r w:rsidRPr="005B7883">
              <w:rPr>
                <w:rFonts w:ascii="Calibri" w:hAnsi="Calibri"/>
                <w:bCs/>
                <w:szCs w:val="22"/>
              </w:rPr>
              <w:t xml:space="preserve"> 10 years. </w:t>
            </w:r>
          </w:p>
          <w:p w14:paraId="76DA723F" w14:textId="77777777" w:rsidR="0002762F" w:rsidRPr="005B7883" w:rsidRDefault="0002762F" w:rsidP="005A15A5">
            <w:pPr>
              <w:pStyle w:val="Header"/>
              <w:rPr>
                <w:rFonts w:ascii="Calibri" w:hAnsi="Calibri"/>
                <w:bCs/>
                <w:szCs w:val="22"/>
              </w:rPr>
            </w:pPr>
          </w:p>
          <w:p w14:paraId="72138C16" w14:textId="5A3C5184" w:rsidR="005B7883" w:rsidRPr="005B7883" w:rsidRDefault="0002762F" w:rsidP="005A15A5">
            <w:pPr>
              <w:pStyle w:val="Header"/>
              <w:rPr>
                <w:rFonts w:ascii="Calibri" w:hAnsi="Calibri"/>
                <w:bCs/>
                <w:szCs w:val="22"/>
              </w:rPr>
            </w:pPr>
            <w:r w:rsidRPr="005B7883">
              <w:rPr>
                <w:rFonts w:ascii="Calibri" w:hAnsi="Calibri"/>
                <w:bCs/>
                <w:szCs w:val="22"/>
              </w:rPr>
              <w:t xml:space="preserve">Paragraph 3 of the statutory declaration from Jaqueline </w:t>
            </w:r>
            <w:proofErr w:type="spellStart"/>
            <w:r w:rsidRPr="005B7883">
              <w:rPr>
                <w:rFonts w:ascii="Calibri" w:hAnsi="Calibri"/>
                <w:bCs/>
                <w:szCs w:val="22"/>
              </w:rPr>
              <w:t>Colligne</w:t>
            </w:r>
            <w:proofErr w:type="spellEnd"/>
            <w:r w:rsidRPr="005B7883">
              <w:rPr>
                <w:rFonts w:ascii="Calibri" w:hAnsi="Calibri"/>
                <w:bCs/>
                <w:szCs w:val="22"/>
              </w:rPr>
              <w:t xml:space="preserve"> states the site was used for the same historical uses as within the statutory declaration outlined in Appendix 2, however paragraph 5 then </w:t>
            </w:r>
            <w:proofErr w:type="gramStart"/>
            <w:r w:rsidRPr="005B7883">
              <w:rPr>
                <w:rFonts w:ascii="Calibri" w:hAnsi="Calibri"/>
                <w:bCs/>
                <w:szCs w:val="22"/>
              </w:rPr>
              <w:t>makes reference</w:t>
            </w:r>
            <w:proofErr w:type="gramEnd"/>
            <w:r w:rsidRPr="005B7883">
              <w:rPr>
                <w:rFonts w:ascii="Calibri" w:hAnsi="Calibri"/>
                <w:bCs/>
                <w:szCs w:val="22"/>
              </w:rPr>
              <w:t xml:space="preserve"> to Meadow Brook Barn as being used as commercial equestrian stabling. No date is mentioned as to when Meadow Brook Barn was used for commercial equestrian stabling however </w:t>
            </w:r>
            <w:r w:rsidR="005B7883" w:rsidRPr="005B7883">
              <w:rPr>
                <w:rFonts w:ascii="Calibri" w:hAnsi="Calibri"/>
                <w:bCs/>
                <w:szCs w:val="22"/>
              </w:rPr>
              <w:t>this use class does not fall within B8 Storage and distribution and falls under ‘sui generis’ use class. In addition, whilst both of these statutory declaration confirm that the applicant has used the site for the operation of his construction business continuously, no dates are provided regarding the other uses such as equine stabling and ancillary residential storage and as such, the evidence does not demonstrate that there has been a breach of planning for a continuous period, in excess of 10 years</w:t>
            </w:r>
            <w:r w:rsidR="001439DA">
              <w:rPr>
                <w:rFonts w:ascii="Calibri" w:hAnsi="Calibri"/>
                <w:bCs/>
                <w:szCs w:val="22"/>
              </w:rPr>
              <w:t xml:space="preserve"> as no specific dates for the uses have been provided within the statutory declarations and the uses include uses which do not constitute commercial storage. </w:t>
            </w:r>
          </w:p>
          <w:p w14:paraId="5586E248" w14:textId="77777777" w:rsidR="005B7883" w:rsidRPr="005B7883" w:rsidRDefault="005B7883" w:rsidP="005A15A5">
            <w:pPr>
              <w:pStyle w:val="Header"/>
              <w:rPr>
                <w:rFonts w:ascii="Calibri" w:hAnsi="Calibri"/>
                <w:bCs/>
                <w:szCs w:val="22"/>
              </w:rPr>
            </w:pPr>
          </w:p>
          <w:p w14:paraId="4FE1E41E" w14:textId="7A27649D" w:rsidR="005B7883" w:rsidRDefault="005B7883" w:rsidP="005A15A5">
            <w:pPr>
              <w:pStyle w:val="Header"/>
              <w:rPr>
                <w:rFonts w:ascii="Calibri" w:hAnsi="Calibri"/>
                <w:bCs/>
                <w:szCs w:val="22"/>
              </w:rPr>
            </w:pPr>
            <w:r>
              <w:rPr>
                <w:rFonts w:ascii="Calibri" w:hAnsi="Calibri"/>
                <w:bCs/>
                <w:szCs w:val="22"/>
              </w:rPr>
              <w:t xml:space="preserve">The remainder of the statutory declarations are similar and note </w:t>
            </w:r>
            <w:r w:rsidRPr="005B7883">
              <w:rPr>
                <w:rFonts w:ascii="Calibri" w:hAnsi="Calibri"/>
                <w:bCs/>
                <w:szCs w:val="22"/>
              </w:rPr>
              <w:t xml:space="preserve">that the site was used to operate a commercial business ‘Cars for All Occasions’ by the </w:t>
            </w:r>
            <w:r w:rsidR="001439DA" w:rsidRPr="005B7883">
              <w:rPr>
                <w:rFonts w:ascii="Calibri" w:hAnsi="Calibri"/>
                <w:bCs/>
                <w:szCs w:val="22"/>
              </w:rPr>
              <w:t>applicants’</w:t>
            </w:r>
            <w:r w:rsidRPr="005B7883">
              <w:rPr>
                <w:rFonts w:ascii="Calibri" w:hAnsi="Calibri"/>
                <w:bCs/>
                <w:szCs w:val="22"/>
              </w:rPr>
              <w:t xml:space="preserve"> father and it was used for equestrian lettings and commercial/residential storage. Again, this does not confirm a continuous use and confirms other uses not within the scope of use class B8 storage and distribution</w:t>
            </w:r>
            <w:r w:rsidR="0000124E">
              <w:rPr>
                <w:rFonts w:ascii="Calibri" w:hAnsi="Calibri"/>
                <w:bCs/>
                <w:szCs w:val="22"/>
              </w:rPr>
              <w:t xml:space="preserve"> such as a car hire business and equestrian which are both sui generis. </w:t>
            </w:r>
          </w:p>
          <w:p w14:paraId="49366B2A" w14:textId="77777777" w:rsidR="00D01F57" w:rsidRPr="003D614D" w:rsidRDefault="00D01F57" w:rsidP="00D01F57">
            <w:pPr>
              <w:pStyle w:val="Header"/>
              <w:rPr>
                <w:rFonts w:ascii="Calibri" w:hAnsi="Calibri"/>
                <w:bCs/>
                <w:szCs w:val="22"/>
                <w:highlight w:val="yellow"/>
              </w:rPr>
            </w:pPr>
          </w:p>
          <w:p w14:paraId="23BC74ED" w14:textId="7855B245" w:rsidR="009A2C47" w:rsidRDefault="002B5124" w:rsidP="002B5124">
            <w:pPr>
              <w:pStyle w:val="Header"/>
              <w:rPr>
                <w:rFonts w:ascii="Calibri" w:hAnsi="Calibri"/>
                <w:bCs/>
                <w:szCs w:val="22"/>
              </w:rPr>
            </w:pPr>
            <w:r w:rsidRPr="009B3998">
              <w:rPr>
                <w:rFonts w:ascii="Calibri" w:hAnsi="Calibri"/>
                <w:bCs/>
                <w:szCs w:val="22"/>
              </w:rPr>
              <w:t>Accordingly, the documentation and signed declarations provided in support of the application (whilst extensive in terms of volume and detail) fail to unequivocally link the applicant’s business activity with a continuous use of the buildings and land in question for a period in excess of 10 years</w:t>
            </w:r>
            <w:r w:rsidR="009B3998">
              <w:rPr>
                <w:rFonts w:ascii="Calibri" w:hAnsi="Calibri"/>
                <w:bCs/>
                <w:szCs w:val="22"/>
              </w:rPr>
              <w:t xml:space="preserve"> </w:t>
            </w:r>
            <w:r w:rsidR="009B3998">
              <w:rPr>
                <w:rFonts w:ascii="Calibri" w:hAnsi="Calibri"/>
                <w:bCs/>
                <w:szCs w:val="22"/>
              </w:rPr>
              <w:lastRenderedPageBreak/>
              <w:t>and the submitted information indicates the site has been used for other uses outside the use class B8 storage and distribution as indicated</w:t>
            </w:r>
            <w:r w:rsidRPr="009B3998">
              <w:rPr>
                <w:rFonts w:ascii="Calibri" w:hAnsi="Calibri"/>
                <w:bCs/>
                <w:szCs w:val="22"/>
              </w:rPr>
              <w:t>.</w:t>
            </w:r>
          </w:p>
          <w:p w14:paraId="77EF1D38" w14:textId="77777777" w:rsidR="001439DA" w:rsidRDefault="001439DA" w:rsidP="002B5124">
            <w:pPr>
              <w:pStyle w:val="Header"/>
              <w:rPr>
                <w:rFonts w:ascii="Calibri" w:hAnsi="Calibri"/>
                <w:bCs/>
                <w:szCs w:val="22"/>
              </w:rPr>
            </w:pPr>
          </w:p>
          <w:p w14:paraId="156ACC9C" w14:textId="41FB8548" w:rsidR="00921834" w:rsidRPr="00921834" w:rsidRDefault="007D3044" w:rsidP="002900C5">
            <w:pPr>
              <w:rPr>
                <w:rFonts w:ascii="Calibri" w:hAnsi="Calibri"/>
                <w:bCs/>
                <w:szCs w:val="22"/>
              </w:rPr>
            </w:pPr>
            <w:r w:rsidRPr="002900C5">
              <w:rPr>
                <w:rFonts w:ascii="Calibri" w:hAnsi="Calibri"/>
                <w:bCs/>
                <w:szCs w:val="22"/>
              </w:rPr>
              <w:t xml:space="preserve">The </w:t>
            </w:r>
            <w:r w:rsidR="002900C5" w:rsidRPr="002900C5">
              <w:rPr>
                <w:rFonts w:ascii="Calibri" w:hAnsi="Calibri"/>
                <w:bCs/>
                <w:szCs w:val="22"/>
              </w:rPr>
              <w:t>third-party</w:t>
            </w:r>
            <w:r w:rsidRPr="002900C5">
              <w:rPr>
                <w:rFonts w:ascii="Calibri" w:hAnsi="Calibri"/>
                <w:bCs/>
                <w:szCs w:val="22"/>
              </w:rPr>
              <w:t xml:space="preserve"> correspondence received by the Council </w:t>
            </w:r>
            <w:r w:rsidR="002900C5" w:rsidRPr="002900C5">
              <w:rPr>
                <w:rFonts w:ascii="Calibri" w:hAnsi="Calibri"/>
                <w:bCs/>
                <w:szCs w:val="22"/>
              </w:rPr>
              <w:t xml:space="preserve">support the application </w:t>
            </w:r>
            <w:r w:rsidR="002900C5">
              <w:rPr>
                <w:rFonts w:ascii="Calibri" w:hAnsi="Calibri"/>
                <w:bCs/>
                <w:szCs w:val="22"/>
              </w:rPr>
              <w:t>however no further information is provided within their response.</w:t>
            </w:r>
          </w:p>
          <w:p w14:paraId="0DB485A3" w14:textId="4F4A675B" w:rsidR="00302A1F" w:rsidRPr="009A2C47" w:rsidRDefault="00302A1F" w:rsidP="00215D88">
            <w:pPr>
              <w:pStyle w:val="Header"/>
              <w:rPr>
                <w:rFonts w:ascii="Calibri" w:hAnsi="Calibri"/>
                <w:bCs/>
                <w:szCs w:val="22"/>
              </w:rPr>
            </w:pPr>
          </w:p>
        </w:tc>
      </w:tr>
      <w:tr w:rsidR="004227A7" w:rsidRPr="00D2449B" w14:paraId="2D544425" w14:textId="77777777" w:rsidTr="00D7793B">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470F26" w14:textId="77777777" w:rsidR="004227A7" w:rsidRPr="002900C5" w:rsidRDefault="004227A7" w:rsidP="004227A7">
            <w:pPr>
              <w:contextualSpacing/>
              <w:jc w:val="both"/>
              <w:rPr>
                <w:rFonts w:ascii="Calibri" w:hAnsi="Calibri"/>
                <w:b/>
                <w:bCs/>
                <w:szCs w:val="22"/>
              </w:rPr>
            </w:pPr>
            <w:r w:rsidRPr="002900C5">
              <w:rPr>
                <w:rFonts w:ascii="Calibri" w:hAnsi="Calibri"/>
                <w:b/>
                <w:bCs/>
                <w:szCs w:val="22"/>
              </w:rPr>
              <w:lastRenderedPageBreak/>
              <w:t>Observations/Consideration of Matters Raised/Conclusion:</w:t>
            </w:r>
          </w:p>
          <w:p w14:paraId="36EC41E3" w14:textId="77777777" w:rsidR="004227A7" w:rsidRPr="002900C5" w:rsidRDefault="004227A7" w:rsidP="004227A7">
            <w:pPr>
              <w:contextualSpacing/>
              <w:jc w:val="both"/>
              <w:rPr>
                <w:rFonts w:ascii="Calibri" w:hAnsi="Calibri"/>
                <w:b/>
                <w:bCs/>
                <w:szCs w:val="22"/>
              </w:rPr>
            </w:pPr>
          </w:p>
          <w:p w14:paraId="67C869B2" w14:textId="51A9360C" w:rsidR="00CD3ADA" w:rsidRPr="002900C5" w:rsidRDefault="001439DA" w:rsidP="004227A7">
            <w:pPr>
              <w:contextualSpacing/>
              <w:jc w:val="both"/>
              <w:rPr>
                <w:rFonts w:ascii="Calibri" w:hAnsi="Calibri"/>
                <w:bCs/>
                <w:szCs w:val="22"/>
              </w:rPr>
            </w:pPr>
            <w:r>
              <w:rPr>
                <w:rFonts w:ascii="Calibri" w:hAnsi="Calibri"/>
                <w:bCs/>
                <w:szCs w:val="22"/>
              </w:rPr>
              <w:t>Evidence</w:t>
            </w:r>
            <w:r w:rsidR="00AB038C" w:rsidRPr="002900C5">
              <w:rPr>
                <w:rFonts w:ascii="Calibri" w:hAnsi="Calibri"/>
                <w:bCs/>
                <w:szCs w:val="22"/>
              </w:rPr>
              <w:t xml:space="preserve"> has been provided in support of the application </w:t>
            </w:r>
            <w:proofErr w:type="gramStart"/>
            <w:r w:rsidR="00AB038C" w:rsidRPr="002900C5">
              <w:rPr>
                <w:rFonts w:ascii="Calibri" w:hAnsi="Calibri"/>
                <w:bCs/>
                <w:szCs w:val="22"/>
              </w:rPr>
              <w:t>in an attempt to</w:t>
            </w:r>
            <w:proofErr w:type="gramEnd"/>
            <w:r w:rsidR="00AB038C" w:rsidRPr="002900C5">
              <w:rPr>
                <w:rFonts w:ascii="Calibri" w:hAnsi="Calibri"/>
                <w:bCs/>
                <w:szCs w:val="22"/>
              </w:rPr>
              <w:t xml:space="preserve"> demonstrate that the buildings and land subject to this application have been continuously used for a period in excess of 10 years in relation to the applicant’s business operation</w:t>
            </w:r>
            <w:r w:rsidR="00C61829" w:rsidRPr="002900C5">
              <w:rPr>
                <w:rFonts w:ascii="Calibri" w:hAnsi="Calibri"/>
                <w:bCs/>
                <w:szCs w:val="22"/>
              </w:rPr>
              <w:t xml:space="preserve"> </w:t>
            </w:r>
            <w:r w:rsidR="002900C5" w:rsidRPr="002900C5">
              <w:rPr>
                <w:rFonts w:ascii="Calibri" w:hAnsi="Calibri"/>
                <w:bCs/>
                <w:szCs w:val="22"/>
              </w:rPr>
              <w:t xml:space="preserve">as B8 </w:t>
            </w:r>
            <w:r>
              <w:rPr>
                <w:rFonts w:ascii="Calibri" w:hAnsi="Calibri"/>
                <w:bCs/>
                <w:szCs w:val="22"/>
              </w:rPr>
              <w:t xml:space="preserve">commercial </w:t>
            </w:r>
            <w:r w:rsidR="002900C5" w:rsidRPr="002900C5">
              <w:rPr>
                <w:rFonts w:ascii="Calibri" w:hAnsi="Calibri"/>
                <w:bCs/>
                <w:szCs w:val="22"/>
              </w:rPr>
              <w:t>storage,</w:t>
            </w:r>
            <w:r>
              <w:rPr>
                <w:rFonts w:ascii="Calibri" w:hAnsi="Calibri"/>
                <w:bCs/>
                <w:szCs w:val="22"/>
              </w:rPr>
              <w:t xml:space="preserve"> however</w:t>
            </w:r>
            <w:r w:rsidR="002900C5" w:rsidRPr="002900C5">
              <w:rPr>
                <w:rFonts w:ascii="Calibri" w:hAnsi="Calibri"/>
                <w:bCs/>
                <w:szCs w:val="22"/>
              </w:rPr>
              <w:t xml:space="preserve"> the evidence provided does not demonstrate this continuous use in excess of 10 years. </w:t>
            </w:r>
          </w:p>
          <w:p w14:paraId="118DBE98" w14:textId="77777777" w:rsidR="002900C5" w:rsidRPr="002900C5" w:rsidRDefault="002900C5" w:rsidP="004227A7">
            <w:pPr>
              <w:contextualSpacing/>
              <w:jc w:val="both"/>
              <w:rPr>
                <w:rFonts w:ascii="Calibri" w:hAnsi="Calibri"/>
                <w:bCs/>
                <w:szCs w:val="22"/>
              </w:rPr>
            </w:pPr>
          </w:p>
          <w:p w14:paraId="729885ED" w14:textId="458894BE" w:rsidR="002900C5" w:rsidRPr="002900C5" w:rsidRDefault="002900C5" w:rsidP="002900C5">
            <w:pPr>
              <w:contextualSpacing/>
              <w:jc w:val="both"/>
              <w:rPr>
                <w:rFonts w:ascii="Calibri" w:hAnsi="Calibri"/>
                <w:bCs/>
                <w:szCs w:val="22"/>
              </w:rPr>
            </w:pPr>
            <w:r w:rsidRPr="002900C5">
              <w:rPr>
                <w:rFonts w:ascii="Calibri" w:hAnsi="Calibri"/>
                <w:bCs/>
                <w:szCs w:val="22"/>
              </w:rPr>
              <w:t xml:space="preserve">As confirmed in the National Planning Practise Guidance, the onus is on the applicant to demonstrate that the building and land has been continuously used for storage purposes for a period of at least 10 years and that the applicant’s evidence must be sufficiently precise and unambiguous even in the absence of any contradictory evidence. For the reasons detailed above, it is not considered that the level and quality of information/ evidence submitted with this application is ‘precise and unambiguous’ </w:t>
            </w:r>
            <w:proofErr w:type="gramStart"/>
            <w:r w:rsidRPr="002900C5">
              <w:rPr>
                <w:rFonts w:ascii="Calibri" w:hAnsi="Calibri"/>
                <w:bCs/>
                <w:szCs w:val="22"/>
              </w:rPr>
              <w:t>in order to</w:t>
            </w:r>
            <w:proofErr w:type="gramEnd"/>
            <w:r w:rsidRPr="002900C5">
              <w:rPr>
                <w:rFonts w:ascii="Calibri" w:hAnsi="Calibri"/>
                <w:bCs/>
                <w:szCs w:val="22"/>
              </w:rPr>
              <w:t xml:space="preserve"> justify that the Lawful Development Certificate should be issued. </w:t>
            </w:r>
          </w:p>
          <w:p w14:paraId="047CAAE9" w14:textId="77777777" w:rsidR="00CD3ADA" w:rsidRPr="002900C5" w:rsidRDefault="00CD3ADA" w:rsidP="004227A7">
            <w:pPr>
              <w:contextualSpacing/>
              <w:jc w:val="both"/>
              <w:rPr>
                <w:rFonts w:ascii="Calibri" w:hAnsi="Calibri"/>
                <w:bCs/>
                <w:szCs w:val="22"/>
              </w:rPr>
            </w:pPr>
          </w:p>
          <w:p w14:paraId="08FA7B95" w14:textId="6DCDA6F3" w:rsidR="002900C5" w:rsidRPr="002900C5" w:rsidRDefault="002900C5" w:rsidP="002900C5">
            <w:pPr>
              <w:contextualSpacing/>
              <w:jc w:val="both"/>
              <w:rPr>
                <w:rFonts w:ascii="Calibri" w:hAnsi="Calibri"/>
                <w:bCs/>
                <w:szCs w:val="22"/>
              </w:rPr>
            </w:pPr>
            <w:r w:rsidRPr="002900C5">
              <w:rPr>
                <w:rFonts w:ascii="Calibri" w:hAnsi="Calibri"/>
                <w:bCs/>
                <w:szCs w:val="22"/>
              </w:rPr>
              <w:t xml:space="preserve">On the basis of the available evidence and the balance of probabilities, it is not considered that the buildings and area of land subject to this application has been used for B8 commercial </w:t>
            </w:r>
            <w:proofErr w:type="gramStart"/>
            <w:r w:rsidRPr="002900C5">
              <w:rPr>
                <w:rFonts w:ascii="Calibri" w:hAnsi="Calibri"/>
                <w:bCs/>
                <w:szCs w:val="22"/>
              </w:rPr>
              <w:t>storage  purposes</w:t>
            </w:r>
            <w:proofErr w:type="gramEnd"/>
            <w:r w:rsidRPr="002900C5">
              <w:rPr>
                <w:rFonts w:ascii="Calibri" w:hAnsi="Calibri"/>
                <w:bCs/>
                <w:szCs w:val="22"/>
              </w:rPr>
              <w:t xml:space="preserve"> for a continuous period in excess of 10 years and therefore is not considered lawful by virtue of Section 191 of the Town and Country Planning Act 1990. </w:t>
            </w:r>
          </w:p>
          <w:p w14:paraId="1FA8E48A" w14:textId="77777777" w:rsidR="004227A7" w:rsidRPr="002900C5" w:rsidRDefault="004227A7" w:rsidP="002900C5">
            <w:pPr>
              <w:contextualSpacing/>
              <w:jc w:val="both"/>
              <w:rPr>
                <w:rFonts w:ascii="Calibri" w:hAnsi="Calibri"/>
                <w:b/>
                <w:bCs/>
                <w:szCs w:val="22"/>
              </w:rPr>
            </w:pPr>
          </w:p>
        </w:tc>
      </w:tr>
      <w:tr w:rsidR="00C0704D" w:rsidRPr="00D2449B" w14:paraId="507FC89B" w14:textId="77777777" w:rsidTr="00D7793B">
        <w:trPr>
          <w:jc w:val="center"/>
        </w:trPr>
        <w:tc>
          <w:tcPr>
            <w:tcW w:w="219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2900C5" w:rsidRDefault="00C0704D" w:rsidP="00CD2CEF">
            <w:pPr>
              <w:rPr>
                <w:rFonts w:ascii="Calibri" w:hAnsi="Calibri"/>
                <w:b/>
                <w:bCs/>
                <w:szCs w:val="22"/>
              </w:rPr>
            </w:pPr>
            <w:r w:rsidRPr="002900C5">
              <w:rPr>
                <w:rFonts w:ascii="Calibri" w:hAnsi="Calibri"/>
                <w:b/>
                <w:szCs w:val="22"/>
              </w:rPr>
              <w:t>RECOMMENDATION</w:t>
            </w:r>
            <w:r w:rsidRPr="002900C5">
              <w:rPr>
                <w:rFonts w:ascii="Calibri" w:hAnsi="Calibri"/>
                <w:szCs w:val="22"/>
              </w:rPr>
              <w:t>:</w:t>
            </w:r>
          </w:p>
        </w:tc>
        <w:tc>
          <w:tcPr>
            <w:tcW w:w="707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902F5A1" w:rsidR="00C0704D" w:rsidRPr="002900C5" w:rsidRDefault="00B142CC" w:rsidP="00CD2CEF">
            <w:pPr>
              <w:rPr>
                <w:rFonts w:ascii="Calibri" w:hAnsi="Calibri"/>
                <w:bCs/>
                <w:szCs w:val="22"/>
              </w:rPr>
            </w:pPr>
            <w:r w:rsidRPr="002900C5">
              <w:rPr>
                <w:rFonts w:ascii="Calibri" w:hAnsi="Calibri"/>
                <w:bCs/>
                <w:szCs w:val="22"/>
              </w:rPr>
              <w:t>That the certificate of lawfulness be refused for the following reason:</w:t>
            </w:r>
          </w:p>
        </w:tc>
      </w:tr>
      <w:tr w:rsidR="00B142CC" w:rsidRPr="00D2449B" w14:paraId="65015211" w14:textId="77777777" w:rsidTr="00B142CC">
        <w:trPr>
          <w:jc w:val="center"/>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025FB0" w14:textId="54D35B13" w:rsidR="00B142CC" w:rsidRPr="002900C5" w:rsidRDefault="00B142CC" w:rsidP="00B142CC">
            <w:pPr>
              <w:jc w:val="center"/>
              <w:rPr>
                <w:rFonts w:ascii="Calibri" w:hAnsi="Calibri"/>
                <w:b/>
                <w:szCs w:val="22"/>
              </w:rPr>
            </w:pPr>
            <w:r w:rsidRPr="002900C5">
              <w:rPr>
                <w:rFonts w:ascii="Calibri" w:hAnsi="Calibri"/>
                <w:b/>
                <w:szCs w:val="22"/>
              </w:rPr>
              <w:t>01:</w:t>
            </w:r>
          </w:p>
        </w:tc>
        <w:tc>
          <w:tcPr>
            <w:tcW w:w="870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97E38C" w14:textId="7C94EFE4" w:rsidR="00B142CC" w:rsidRPr="002900C5" w:rsidRDefault="002900C5" w:rsidP="00250BE2">
            <w:pPr>
              <w:jc w:val="both"/>
              <w:rPr>
                <w:rFonts w:ascii="Calibri" w:hAnsi="Calibri"/>
                <w:bCs/>
                <w:szCs w:val="22"/>
              </w:rPr>
            </w:pPr>
            <w:r w:rsidRPr="002900C5">
              <w:rPr>
                <w:rFonts w:ascii="Calibri" w:hAnsi="Calibri"/>
                <w:bCs/>
                <w:szCs w:val="22"/>
              </w:rPr>
              <w:t xml:space="preserve">The applicant has failed to demonstrate that, on the balance of probability, the building and land to which the application relates </w:t>
            </w:r>
            <w:r w:rsidR="002B5AC0">
              <w:rPr>
                <w:rFonts w:ascii="Calibri" w:hAnsi="Calibri"/>
                <w:bCs/>
                <w:szCs w:val="22"/>
              </w:rPr>
              <w:t xml:space="preserve">(Meadow Brook Barn) </w:t>
            </w:r>
            <w:r w:rsidRPr="002900C5">
              <w:rPr>
                <w:rFonts w:ascii="Calibri" w:hAnsi="Calibri"/>
                <w:bCs/>
                <w:szCs w:val="22"/>
              </w:rPr>
              <w:t xml:space="preserve">has been used for B8 commercial storage purposes for continuous period </w:t>
            </w:r>
            <w:proofErr w:type="gramStart"/>
            <w:r w:rsidRPr="002900C5">
              <w:rPr>
                <w:rFonts w:ascii="Calibri" w:hAnsi="Calibri"/>
                <w:bCs/>
                <w:szCs w:val="22"/>
              </w:rPr>
              <w:t>in excess of</w:t>
            </w:r>
            <w:proofErr w:type="gramEnd"/>
            <w:r w:rsidRPr="002900C5">
              <w:rPr>
                <w:rFonts w:ascii="Calibri" w:hAnsi="Calibri"/>
                <w:bCs/>
                <w:szCs w:val="22"/>
              </w:rPr>
              <w:t xml:space="preserve"> 10 years, and therefore the use is not considered lawful by virtue of Section 191 of the Town and Country Planning Act 1990.  </w:t>
            </w:r>
          </w:p>
        </w:tc>
      </w:tr>
    </w:tbl>
    <w:p w14:paraId="513FB541" w14:textId="77777777" w:rsidR="0002304A" w:rsidRPr="00D2449B" w:rsidRDefault="0002304A">
      <w:pPr>
        <w:rPr>
          <w:rFonts w:ascii="Calibri" w:hAnsi="Calibri"/>
          <w:szCs w:val="22"/>
        </w:rPr>
      </w:pPr>
    </w:p>
    <w:sectPr w:rsidR="0002304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13E"/>
    <w:multiLevelType w:val="hybridMultilevel"/>
    <w:tmpl w:val="0C348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84B66"/>
    <w:multiLevelType w:val="hybridMultilevel"/>
    <w:tmpl w:val="A036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61122"/>
    <w:multiLevelType w:val="hybridMultilevel"/>
    <w:tmpl w:val="E2A8E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64D4A"/>
    <w:multiLevelType w:val="hybridMultilevel"/>
    <w:tmpl w:val="54C8D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230A15"/>
    <w:multiLevelType w:val="hybridMultilevel"/>
    <w:tmpl w:val="0DEA3B70"/>
    <w:lvl w:ilvl="0" w:tplc="C1008F22">
      <w:start w:val="1"/>
      <w:numFmt w:val="bullet"/>
      <w:lvlText w:val=""/>
      <w:lvlJc w:val="left"/>
      <w:pPr>
        <w:ind w:left="360" w:hanging="360"/>
      </w:pPr>
      <w:rPr>
        <w:rFonts w:ascii="Wingdings" w:hAnsi="Wingdings" w:hint="default"/>
        <w:sz w:val="22"/>
      </w:rPr>
    </w:lvl>
    <w:lvl w:ilvl="1" w:tplc="6C82416E">
      <w:numFmt w:val="decimal"/>
      <w:lvlText w:val=""/>
      <w:lvlJc w:val="left"/>
    </w:lvl>
    <w:lvl w:ilvl="2" w:tplc="6CA6BA8E">
      <w:numFmt w:val="decimal"/>
      <w:lvlText w:val=""/>
      <w:lvlJc w:val="left"/>
    </w:lvl>
    <w:lvl w:ilvl="3" w:tplc="7378289E">
      <w:numFmt w:val="decimal"/>
      <w:lvlText w:val=""/>
      <w:lvlJc w:val="left"/>
    </w:lvl>
    <w:lvl w:ilvl="4" w:tplc="7E7E386C">
      <w:numFmt w:val="decimal"/>
      <w:lvlText w:val=""/>
      <w:lvlJc w:val="left"/>
    </w:lvl>
    <w:lvl w:ilvl="5" w:tplc="E80233B6">
      <w:numFmt w:val="decimal"/>
      <w:lvlText w:val=""/>
      <w:lvlJc w:val="left"/>
    </w:lvl>
    <w:lvl w:ilvl="6" w:tplc="28F6EA3E">
      <w:numFmt w:val="decimal"/>
      <w:lvlText w:val=""/>
      <w:lvlJc w:val="left"/>
    </w:lvl>
    <w:lvl w:ilvl="7" w:tplc="0D48C55E">
      <w:numFmt w:val="decimal"/>
      <w:lvlText w:val=""/>
      <w:lvlJc w:val="left"/>
    </w:lvl>
    <w:lvl w:ilvl="8" w:tplc="46CC5868">
      <w:numFmt w:val="decimal"/>
      <w:lvlText w:val=""/>
      <w:lvlJc w:val="left"/>
    </w:lvl>
  </w:abstractNum>
  <w:abstractNum w:abstractNumId="5" w15:restartNumberingAfterBreak="0">
    <w:nsid w:val="42F27121"/>
    <w:multiLevelType w:val="hybridMultilevel"/>
    <w:tmpl w:val="678E1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9863CF"/>
    <w:multiLevelType w:val="hybridMultilevel"/>
    <w:tmpl w:val="969A05F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46C416A8"/>
    <w:multiLevelType w:val="hybridMultilevel"/>
    <w:tmpl w:val="D152C688"/>
    <w:lvl w:ilvl="0" w:tplc="05ECAC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97E0E69"/>
    <w:multiLevelType w:val="hybridMultilevel"/>
    <w:tmpl w:val="1398F65E"/>
    <w:lvl w:ilvl="0" w:tplc="CB4473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1C9376F"/>
    <w:multiLevelType w:val="hybridMultilevel"/>
    <w:tmpl w:val="BB508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0D6824"/>
    <w:multiLevelType w:val="hybridMultilevel"/>
    <w:tmpl w:val="1A7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0"/>
  </w:num>
  <w:num w:numId="2" w16cid:durableId="633176010">
    <w:abstractNumId w:val="5"/>
  </w:num>
  <w:num w:numId="3" w16cid:durableId="1330208351">
    <w:abstractNumId w:val="9"/>
  </w:num>
  <w:num w:numId="4" w16cid:durableId="1855730261">
    <w:abstractNumId w:val="3"/>
  </w:num>
  <w:num w:numId="5" w16cid:durableId="1717967737">
    <w:abstractNumId w:val="7"/>
  </w:num>
  <w:num w:numId="6" w16cid:durableId="624508807">
    <w:abstractNumId w:val="8"/>
  </w:num>
  <w:num w:numId="7" w16cid:durableId="1686175993">
    <w:abstractNumId w:val="11"/>
  </w:num>
  <w:num w:numId="8" w16cid:durableId="78602811">
    <w:abstractNumId w:val="6"/>
  </w:num>
  <w:num w:numId="9" w16cid:durableId="1827475403">
    <w:abstractNumId w:val="1"/>
  </w:num>
  <w:num w:numId="10" w16cid:durableId="1181965251">
    <w:abstractNumId w:val="4"/>
    <w:lvlOverride w:ilvl="0">
      <w:startOverride w:val="1"/>
    </w:lvlOverride>
  </w:num>
  <w:num w:numId="11" w16cid:durableId="875460178">
    <w:abstractNumId w:val="4"/>
    <w:lvlOverride w:ilvl="0">
      <w:startOverride w:val="1"/>
    </w:lvlOverride>
  </w:num>
  <w:num w:numId="12" w16cid:durableId="390228094">
    <w:abstractNumId w:val="0"/>
  </w:num>
  <w:num w:numId="13" w16cid:durableId="1712730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24E"/>
    <w:rsid w:val="00016005"/>
    <w:rsid w:val="000179A9"/>
    <w:rsid w:val="0002273F"/>
    <w:rsid w:val="0002304A"/>
    <w:rsid w:val="0002762F"/>
    <w:rsid w:val="000758A4"/>
    <w:rsid w:val="00080BDF"/>
    <w:rsid w:val="00086063"/>
    <w:rsid w:val="000A2270"/>
    <w:rsid w:val="000A57F3"/>
    <w:rsid w:val="000B5CB5"/>
    <w:rsid w:val="000C1A6C"/>
    <w:rsid w:val="000C3804"/>
    <w:rsid w:val="000D0571"/>
    <w:rsid w:val="000D09D4"/>
    <w:rsid w:val="000E1F7C"/>
    <w:rsid w:val="000F2F98"/>
    <w:rsid w:val="000F346C"/>
    <w:rsid w:val="0010195B"/>
    <w:rsid w:val="00101F50"/>
    <w:rsid w:val="00105930"/>
    <w:rsid w:val="001238E5"/>
    <w:rsid w:val="00130035"/>
    <w:rsid w:val="00134FBA"/>
    <w:rsid w:val="001439DA"/>
    <w:rsid w:val="001512F0"/>
    <w:rsid w:val="00151FE2"/>
    <w:rsid w:val="00153BF7"/>
    <w:rsid w:val="0015513B"/>
    <w:rsid w:val="00157C1B"/>
    <w:rsid w:val="00174FC6"/>
    <w:rsid w:val="0019211F"/>
    <w:rsid w:val="001A3CC2"/>
    <w:rsid w:val="001C4E32"/>
    <w:rsid w:val="001D4F7A"/>
    <w:rsid w:val="001E634E"/>
    <w:rsid w:val="001E7034"/>
    <w:rsid w:val="001E70DB"/>
    <w:rsid w:val="001F1BF5"/>
    <w:rsid w:val="0020078E"/>
    <w:rsid w:val="0021022D"/>
    <w:rsid w:val="002109BA"/>
    <w:rsid w:val="00213A08"/>
    <w:rsid w:val="00215D88"/>
    <w:rsid w:val="002164C6"/>
    <w:rsid w:val="002172A0"/>
    <w:rsid w:val="0022092D"/>
    <w:rsid w:val="00230DEC"/>
    <w:rsid w:val="00247B47"/>
    <w:rsid w:val="00250879"/>
    <w:rsid w:val="00250BE2"/>
    <w:rsid w:val="00272972"/>
    <w:rsid w:val="00283DAC"/>
    <w:rsid w:val="00285124"/>
    <w:rsid w:val="002900C5"/>
    <w:rsid w:val="0029334A"/>
    <w:rsid w:val="00295C3C"/>
    <w:rsid w:val="002969F4"/>
    <w:rsid w:val="0029769E"/>
    <w:rsid w:val="002A01CF"/>
    <w:rsid w:val="002A22F2"/>
    <w:rsid w:val="002A2B99"/>
    <w:rsid w:val="002B3622"/>
    <w:rsid w:val="002B5124"/>
    <w:rsid w:val="002B5AC0"/>
    <w:rsid w:val="002C4D48"/>
    <w:rsid w:val="002C6277"/>
    <w:rsid w:val="002E3882"/>
    <w:rsid w:val="002F1F6D"/>
    <w:rsid w:val="002F2580"/>
    <w:rsid w:val="00302A1F"/>
    <w:rsid w:val="0030336C"/>
    <w:rsid w:val="00305874"/>
    <w:rsid w:val="00314BF0"/>
    <w:rsid w:val="00321B6E"/>
    <w:rsid w:val="00332D3C"/>
    <w:rsid w:val="003375D3"/>
    <w:rsid w:val="0034162D"/>
    <w:rsid w:val="00344E18"/>
    <w:rsid w:val="0035044F"/>
    <w:rsid w:val="00352EC0"/>
    <w:rsid w:val="00353DC4"/>
    <w:rsid w:val="00354A0F"/>
    <w:rsid w:val="0036309D"/>
    <w:rsid w:val="0036436E"/>
    <w:rsid w:val="00365E6A"/>
    <w:rsid w:val="00366BB9"/>
    <w:rsid w:val="003709AA"/>
    <w:rsid w:val="00394AAD"/>
    <w:rsid w:val="003A0F89"/>
    <w:rsid w:val="003A6175"/>
    <w:rsid w:val="003A6786"/>
    <w:rsid w:val="003B459A"/>
    <w:rsid w:val="003B63E9"/>
    <w:rsid w:val="003D158A"/>
    <w:rsid w:val="003D37F8"/>
    <w:rsid w:val="003D614D"/>
    <w:rsid w:val="003D744B"/>
    <w:rsid w:val="003E0323"/>
    <w:rsid w:val="003E3B24"/>
    <w:rsid w:val="003E6B13"/>
    <w:rsid w:val="00402270"/>
    <w:rsid w:val="00406025"/>
    <w:rsid w:val="00414C7D"/>
    <w:rsid w:val="00415C19"/>
    <w:rsid w:val="004227A7"/>
    <w:rsid w:val="00433461"/>
    <w:rsid w:val="00440CB6"/>
    <w:rsid w:val="00442819"/>
    <w:rsid w:val="00453B8E"/>
    <w:rsid w:val="0046548C"/>
    <w:rsid w:val="00472BEA"/>
    <w:rsid w:val="0048424C"/>
    <w:rsid w:val="004947BB"/>
    <w:rsid w:val="004974CD"/>
    <w:rsid w:val="004A0FB1"/>
    <w:rsid w:val="004A5EA9"/>
    <w:rsid w:val="004B432E"/>
    <w:rsid w:val="004C2434"/>
    <w:rsid w:val="004C2AD3"/>
    <w:rsid w:val="004C4D2B"/>
    <w:rsid w:val="004C72C4"/>
    <w:rsid w:val="004C7D6E"/>
    <w:rsid w:val="004D0230"/>
    <w:rsid w:val="004F0649"/>
    <w:rsid w:val="004F48B7"/>
    <w:rsid w:val="005017E6"/>
    <w:rsid w:val="00503194"/>
    <w:rsid w:val="00510FA2"/>
    <w:rsid w:val="005141A2"/>
    <w:rsid w:val="005148AF"/>
    <w:rsid w:val="005148E9"/>
    <w:rsid w:val="00522E14"/>
    <w:rsid w:val="005246CC"/>
    <w:rsid w:val="00527882"/>
    <w:rsid w:val="005346CC"/>
    <w:rsid w:val="005464DC"/>
    <w:rsid w:val="0055014A"/>
    <w:rsid w:val="005536F3"/>
    <w:rsid w:val="00553D35"/>
    <w:rsid w:val="00555CE7"/>
    <w:rsid w:val="0055645B"/>
    <w:rsid w:val="00556ECD"/>
    <w:rsid w:val="00560A62"/>
    <w:rsid w:val="0056180B"/>
    <w:rsid w:val="005673BE"/>
    <w:rsid w:val="00584807"/>
    <w:rsid w:val="00591C39"/>
    <w:rsid w:val="00593603"/>
    <w:rsid w:val="00594078"/>
    <w:rsid w:val="005A15A5"/>
    <w:rsid w:val="005A25C4"/>
    <w:rsid w:val="005A426B"/>
    <w:rsid w:val="005B1843"/>
    <w:rsid w:val="005B29D7"/>
    <w:rsid w:val="005B7883"/>
    <w:rsid w:val="005C4AC7"/>
    <w:rsid w:val="005D1C53"/>
    <w:rsid w:val="005E1C6C"/>
    <w:rsid w:val="005E65DF"/>
    <w:rsid w:val="005E67DA"/>
    <w:rsid w:val="005F3D8B"/>
    <w:rsid w:val="00614A2C"/>
    <w:rsid w:val="00620FE4"/>
    <w:rsid w:val="00632F2C"/>
    <w:rsid w:val="006339A4"/>
    <w:rsid w:val="00635A33"/>
    <w:rsid w:val="006536C5"/>
    <w:rsid w:val="00662E84"/>
    <w:rsid w:val="006703EB"/>
    <w:rsid w:val="00673B0A"/>
    <w:rsid w:val="006774C4"/>
    <w:rsid w:val="00681E01"/>
    <w:rsid w:val="00686398"/>
    <w:rsid w:val="00692B60"/>
    <w:rsid w:val="00692EDA"/>
    <w:rsid w:val="00694447"/>
    <w:rsid w:val="00696A3B"/>
    <w:rsid w:val="006A155D"/>
    <w:rsid w:val="006A2818"/>
    <w:rsid w:val="006A3A22"/>
    <w:rsid w:val="006A71AD"/>
    <w:rsid w:val="006B10AF"/>
    <w:rsid w:val="006C2BFA"/>
    <w:rsid w:val="006C4E21"/>
    <w:rsid w:val="006D0BAE"/>
    <w:rsid w:val="006D5941"/>
    <w:rsid w:val="006D7CA0"/>
    <w:rsid w:val="006E2344"/>
    <w:rsid w:val="006E2F1F"/>
    <w:rsid w:val="006E513A"/>
    <w:rsid w:val="006F22AC"/>
    <w:rsid w:val="006F6849"/>
    <w:rsid w:val="0070054B"/>
    <w:rsid w:val="00702311"/>
    <w:rsid w:val="00713618"/>
    <w:rsid w:val="007267AA"/>
    <w:rsid w:val="007267AC"/>
    <w:rsid w:val="007300D8"/>
    <w:rsid w:val="00730776"/>
    <w:rsid w:val="0073672C"/>
    <w:rsid w:val="00737BD6"/>
    <w:rsid w:val="00743F8C"/>
    <w:rsid w:val="00744E59"/>
    <w:rsid w:val="00752E03"/>
    <w:rsid w:val="0075645B"/>
    <w:rsid w:val="00761403"/>
    <w:rsid w:val="00776AE2"/>
    <w:rsid w:val="00777665"/>
    <w:rsid w:val="00777FCE"/>
    <w:rsid w:val="007861CE"/>
    <w:rsid w:val="00786798"/>
    <w:rsid w:val="00792E11"/>
    <w:rsid w:val="007A5D5F"/>
    <w:rsid w:val="007B27AA"/>
    <w:rsid w:val="007C1871"/>
    <w:rsid w:val="007C6788"/>
    <w:rsid w:val="007C791C"/>
    <w:rsid w:val="007D3044"/>
    <w:rsid w:val="007D7DF4"/>
    <w:rsid w:val="007E0D23"/>
    <w:rsid w:val="007F16D6"/>
    <w:rsid w:val="00804538"/>
    <w:rsid w:val="00811771"/>
    <w:rsid w:val="008250F0"/>
    <w:rsid w:val="008314CD"/>
    <w:rsid w:val="00835CEC"/>
    <w:rsid w:val="00847D6C"/>
    <w:rsid w:val="008542DE"/>
    <w:rsid w:val="00856A43"/>
    <w:rsid w:val="00867B9F"/>
    <w:rsid w:val="00876D59"/>
    <w:rsid w:val="0088733D"/>
    <w:rsid w:val="008A28C8"/>
    <w:rsid w:val="008A34F6"/>
    <w:rsid w:val="008A50EA"/>
    <w:rsid w:val="008B38D8"/>
    <w:rsid w:val="008C16BF"/>
    <w:rsid w:val="008C6CF1"/>
    <w:rsid w:val="008D47F3"/>
    <w:rsid w:val="008D7825"/>
    <w:rsid w:val="008E0878"/>
    <w:rsid w:val="008E6CF5"/>
    <w:rsid w:val="00900ED0"/>
    <w:rsid w:val="00904978"/>
    <w:rsid w:val="009202BF"/>
    <w:rsid w:val="00921834"/>
    <w:rsid w:val="00930DC6"/>
    <w:rsid w:val="00931915"/>
    <w:rsid w:val="00941A0D"/>
    <w:rsid w:val="009442D2"/>
    <w:rsid w:val="00944A2E"/>
    <w:rsid w:val="00945CF1"/>
    <w:rsid w:val="00947846"/>
    <w:rsid w:val="00947E7D"/>
    <w:rsid w:val="00965142"/>
    <w:rsid w:val="00973A17"/>
    <w:rsid w:val="0098748F"/>
    <w:rsid w:val="00991156"/>
    <w:rsid w:val="009963A3"/>
    <w:rsid w:val="009A2C47"/>
    <w:rsid w:val="009A638F"/>
    <w:rsid w:val="009A7332"/>
    <w:rsid w:val="009B15F9"/>
    <w:rsid w:val="009B288A"/>
    <w:rsid w:val="009B31AB"/>
    <w:rsid w:val="009B3998"/>
    <w:rsid w:val="009B4248"/>
    <w:rsid w:val="009B79E9"/>
    <w:rsid w:val="009C4022"/>
    <w:rsid w:val="009D15C0"/>
    <w:rsid w:val="009F5A44"/>
    <w:rsid w:val="00A104E2"/>
    <w:rsid w:val="00A20647"/>
    <w:rsid w:val="00A24574"/>
    <w:rsid w:val="00A303EE"/>
    <w:rsid w:val="00A30B19"/>
    <w:rsid w:val="00A30F48"/>
    <w:rsid w:val="00A42E82"/>
    <w:rsid w:val="00A45372"/>
    <w:rsid w:val="00A464CB"/>
    <w:rsid w:val="00A513AA"/>
    <w:rsid w:val="00A5364F"/>
    <w:rsid w:val="00A54DF1"/>
    <w:rsid w:val="00A5500B"/>
    <w:rsid w:val="00A579BB"/>
    <w:rsid w:val="00A57DE0"/>
    <w:rsid w:val="00A63D55"/>
    <w:rsid w:val="00A76842"/>
    <w:rsid w:val="00A807AD"/>
    <w:rsid w:val="00A80971"/>
    <w:rsid w:val="00A8269E"/>
    <w:rsid w:val="00A90871"/>
    <w:rsid w:val="00A95D89"/>
    <w:rsid w:val="00AB038C"/>
    <w:rsid w:val="00AC2DD5"/>
    <w:rsid w:val="00AC35C5"/>
    <w:rsid w:val="00AD072C"/>
    <w:rsid w:val="00AD0B00"/>
    <w:rsid w:val="00AD0DE2"/>
    <w:rsid w:val="00AD60E1"/>
    <w:rsid w:val="00AD6D81"/>
    <w:rsid w:val="00AE2457"/>
    <w:rsid w:val="00AF4FCD"/>
    <w:rsid w:val="00B01419"/>
    <w:rsid w:val="00B04B09"/>
    <w:rsid w:val="00B103B3"/>
    <w:rsid w:val="00B142CC"/>
    <w:rsid w:val="00B1768A"/>
    <w:rsid w:val="00B232A9"/>
    <w:rsid w:val="00B30F74"/>
    <w:rsid w:val="00B50052"/>
    <w:rsid w:val="00B50F3A"/>
    <w:rsid w:val="00B55C2D"/>
    <w:rsid w:val="00B6149C"/>
    <w:rsid w:val="00B66604"/>
    <w:rsid w:val="00B73C69"/>
    <w:rsid w:val="00B74F0D"/>
    <w:rsid w:val="00B8144A"/>
    <w:rsid w:val="00B81671"/>
    <w:rsid w:val="00B83E74"/>
    <w:rsid w:val="00B93EB5"/>
    <w:rsid w:val="00B9681A"/>
    <w:rsid w:val="00BA516C"/>
    <w:rsid w:val="00BB7670"/>
    <w:rsid w:val="00BC127A"/>
    <w:rsid w:val="00BD3F03"/>
    <w:rsid w:val="00BE54A4"/>
    <w:rsid w:val="00BE6BA1"/>
    <w:rsid w:val="00C0080F"/>
    <w:rsid w:val="00C06094"/>
    <w:rsid w:val="00C0704D"/>
    <w:rsid w:val="00C15D89"/>
    <w:rsid w:val="00C25722"/>
    <w:rsid w:val="00C301F6"/>
    <w:rsid w:val="00C32411"/>
    <w:rsid w:val="00C571EC"/>
    <w:rsid w:val="00C57654"/>
    <w:rsid w:val="00C61829"/>
    <w:rsid w:val="00C618DB"/>
    <w:rsid w:val="00C62A50"/>
    <w:rsid w:val="00C706E4"/>
    <w:rsid w:val="00C9062B"/>
    <w:rsid w:val="00CA00B1"/>
    <w:rsid w:val="00CA4F6E"/>
    <w:rsid w:val="00CB0859"/>
    <w:rsid w:val="00CB4390"/>
    <w:rsid w:val="00CC0ED4"/>
    <w:rsid w:val="00CD3ADA"/>
    <w:rsid w:val="00CD4874"/>
    <w:rsid w:val="00CE1FD3"/>
    <w:rsid w:val="00CE20C9"/>
    <w:rsid w:val="00CE5725"/>
    <w:rsid w:val="00CE5FDA"/>
    <w:rsid w:val="00CF0230"/>
    <w:rsid w:val="00CF03F8"/>
    <w:rsid w:val="00CF0ACC"/>
    <w:rsid w:val="00D003C9"/>
    <w:rsid w:val="00D01F57"/>
    <w:rsid w:val="00D11007"/>
    <w:rsid w:val="00D17A79"/>
    <w:rsid w:val="00D17EB1"/>
    <w:rsid w:val="00D2449B"/>
    <w:rsid w:val="00D25A0A"/>
    <w:rsid w:val="00D30857"/>
    <w:rsid w:val="00D33522"/>
    <w:rsid w:val="00D422FA"/>
    <w:rsid w:val="00D437BA"/>
    <w:rsid w:val="00D45516"/>
    <w:rsid w:val="00D5061D"/>
    <w:rsid w:val="00D51CBF"/>
    <w:rsid w:val="00D54A8D"/>
    <w:rsid w:val="00D54E67"/>
    <w:rsid w:val="00D62E29"/>
    <w:rsid w:val="00D656B5"/>
    <w:rsid w:val="00D72EC4"/>
    <w:rsid w:val="00D7793B"/>
    <w:rsid w:val="00D81FB8"/>
    <w:rsid w:val="00D8692D"/>
    <w:rsid w:val="00D87CCD"/>
    <w:rsid w:val="00D97FC9"/>
    <w:rsid w:val="00DA110C"/>
    <w:rsid w:val="00DA1A1A"/>
    <w:rsid w:val="00DA3500"/>
    <w:rsid w:val="00DA3856"/>
    <w:rsid w:val="00DB194D"/>
    <w:rsid w:val="00DB2935"/>
    <w:rsid w:val="00DB554B"/>
    <w:rsid w:val="00DC167B"/>
    <w:rsid w:val="00DC7DA1"/>
    <w:rsid w:val="00DD62F6"/>
    <w:rsid w:val="00DD670A"/>
    <w:rsid w:val="00DE3DF1"/>
    <w:rsid w:val="00DF3F24"/>
    <w:rsid w:val="00DF7496"/>
    <w:rsid w:val="00DF7C14"/>
    <w:rsid w:val="00E03E88"/>
    <w:rsid w:val="00E05A51"/>
    <w:rsid w:val="00E101F3"/>
    <w:rsid w:val="00E12C0F"/>
    <w:rsid w:val="00E179E9"/>
    <w:rsid w:val="00E25565"/>
    <w:rsid w:val="00E30B69"/>
    <w:rsid w:val="00E33586"/>
    <w:rsid w:val="00E35346"/>
    <w:rsid w:val="00E4119D"/>
    <w:rsid w:val="00E43268"/>
    <w:rsid w:val="00E46243"/>
    <w:rsid w:val="00E509F6"/>
    <w:rsid w:val="00E53894"/>
    <w:rsid w:val="00E621E6"/>
    <w:rsid w:val="00E66534"/>
    <w:rsid w:val="00E70ECF"/>
    <w:rsid w:val="00E712D9"/>
    <w:rsid w:val="00E72F6C"/>
    <w:rsid w:val="00E9515F"/>
    <w:rsid w:val="00EA09F9"/>
    <w:rsid w:val="00EC23C7"/>
    <w:rsid w:val="00EC4495"/>
    <w:rsid w:val="00EC4568"/>
    <w:rsid w:val="00EC6E97"/>
    <w:rsid w:val="00EC7A87"/>
    <w:rsid w:val="00ED00B7"/>
    <w:rsid w:val="00EE1A8C"/>
    <w:rsid w:val="00EE5E05"/>
    <w:rsid w:val="00EF21D6"/>
    <w:rsid w:val="00EF2BAA"/>
    <w:rsid w:val="00EF44E6"/>
    <w:rsid w:val="00EF5CB1"/>
    <w:rsid w:val="00F021EF"/>
    <w:rsid w:val="00F066ED"/>
    <w:rsid w:val="00F11AB5"/>
    <w:rsid w:val="00F1219C"/>
    <w:rsid w:val="00F20FDC"/>
    <w:rsid w:val="00F26010"/>
    <w:rsid w:val="00F40ADE"/>
    <w:rsid w:val="00F456C7"/>
    <w:rsid w:val="00F61CA0"/>
    <w:rsid w:val="00F65C9B"/>
    <w:rsid w:val="00F66A63"/>
    <w:rsid w:val="00F70ECD"/>
    <w:rsid w:val="00F86285"/>
    <w:rsid w:val="00F87051"/>
    <w:rsid w:val="00F90C0C"/>
    <w:rsid w:val="00F940FB"/>
    <w:rsid w:val="00F94414"/>
    <w:rsid w:val="00F9645B"/>
    <w:rsid w:val="00FA3F01"/>
    <w:rsid w:val="00FA58F7"/>
    <w:rsid w:val="00FB1E13"/>
    <w:rsid w:val="00FB54EF"/>
    <w:rsid w:val="00FC1C55"/>
    <w:rsid w:val="00FC3150"/>
    <w:rsid w:val="00FC7027"/>
    <w:rsid w:val="00FD52B5"/>
    <w:rsid w:val="00FD6AE3"/>
    <w:rsid w:val="00FD7035"/>
    <w:rsid w:val="00FE4C46"/>
    <w:rsid w:val="00FE6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styleId="Hyperlink">
    <w:name w:val="Hyperlink"/>
    <w:basedOn w:val="DefaultParagraphFont"/>
    <w:uiPriority w:val="99"/>
    <w:unhideWhenUsed/>
    <w:rsid w:val="00134FBA"/>
    <w:rPr>
      <w:color w:val="0000FF" w:themeColor="hyperlink"/>
      <w:u w:val="single"/>
    </w:rPr>
  </w:style>
  <w:style w:type="character" w:styleId="UnresolvedMention">
    <w:name w:val="Unresolved Mention"/>
    <w:basedOn w:val="DefaultParagraphFont"/>
    <w:uiPriority w:val="99"/>
    <w:semiHidden/>
    <w:unhideWhenUsed/>
    <w:rsid w:val="00134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8293">
      <w:bodyDiv w:val="1"/>
      <w:marLeft w:val="0"/>
      <w:marRight w:val="0"/>
      <w:marTop w:val="0"/>
      <w:marBottom w:val="0"/>
      <w:divBdr>
        <w:top w:val="none" w:sz="0" w:space="0" w:color="auto"/>
        <w:left w:val="none" w:sz="0" w:space="0" w:color="auto"/>
        <w:bottom w:val="none" w:sz="0" w:space="0" w:color="auto"/>
        <w:right w:val="none" w:sz="0" w:space="0" w:color="auto"/>
      </w:divBdr>
    </w:div>
    <w:div w:id="295138050">
      <w:bodyDiv w:val="1"/>
      <w:marLeft w:val="0"/>
      <w:marRight w:val="0"/>
      <w:marTop w:val="0"/>
      <w:marBottom w:val="0"/>
      <w:divBdr>
        <w:top w:val="none" w:sz="0" w:space="0" w:color="auto"/>
        <w:left w:val="none" w:sz="0" w:space="0" w:color="auto"/>
        <w:bottom w:val="none" w:sz="0" w:space="0" w:color="auto"/>
        <w:right w:val="none" w:sz="0" w:space="0" w:color="auto"/>
      </w:divBdr>
    </w:div>
    <w:div w:id="397165611">
      <w:bodyDiv w:val="1"/>
      <w:marLeft w:val="0"/>
      <w:marRight w:val="0"/>
      <w:marTop w:val="0"/>
      <w:marBottom w:val="0"/>
      <w:divBdr>
        <w:top w:val="none" w:sz="0" w:space="0" w:color="auto"/>
        <w:left w:val="none" w:sz="0" w:space="0" w:color="auto"/>
        <w:bottom w:val="none" w:sz="0" w:space="0" w:color="auto"/>
        <w:right w:val="none" w:sz="0" w:space="0" w:color="auto"/>
      </w:divBdr>
    </w:div>
    <w:div w:id="398939347">
      <w:bodyDiv w:val="1"/>
      <w:marLeft w:val="0"/>
      <w:marRight w:val="0"/>
      <w:marTop w:val="0"/>
      <w:marBottom w:val="0"/>
      <w:divBdr>
        <w:top w:val="none" w:sz="0" w:space="0" w:color="auto"/>
        <w:left w:val="none" w:sz="0" w:space="0" w:color="auto"/>
        <w:bottom w:val="none" w:sz="0" w:space="0" w:color="auto"/>
        <w:right w:val="none" w:sz="0" w:space="0" w:color="auto"/>
      </w:divBdr>
    </w:div>
    <w:div w:id="424303352">
      <w:bodyDiv w:val="1"/>
      <w:marLeft w:val="0"/>
      <w:marRight w:val="0"/>
      <w:marTop w:val="0"/>
      <w:marBottom w:val="0"/>
      <w:divBdr>
        <w:top w:val="none" w:sz="0" w:space="0" w:color="auto"/>
        <w:left w:val="none" w:sz="0" w:space="0" w:color="auto"/>
        <w:bottom w:val="none" w:sz="0" w:space="0" w:color="auto"/>
        <w:right w:val="none" w:sz="0" w:space="0" w:color="auto"/>
      </w:divBdr>
    </w:div>
    <w:div w:id="457384316">
      <w:bodyDiv w:val="1"/>
      <w:marLeft w:val="0"/>
      <w:marRight w:val="0"/>
      <w:marTop w:val="0"/>
      <w:marBottom w:val="0"/>
      <w:divBdr>
        <w:top w:val="none" w:sz="0" w:space="0" w:color="auto"/>
        <w:left w:val="none" w:sz="0" w:space="0" w:color="auto"/>
        <w:bottom w:val="none" w:sz="0" w:space="0" w:color="auto"/>
        <w:right w:val="none" w:sz="0" w:space="0" w:color="auto"/>
      </w:divBdr>
    </w:div>
    <w:div w:id="596594011">
      <w:bodyDiv w:val="1"/>
      <w:marLeft w:val="0"/>
      <w:marRight w:val="0"/>
      <w:marTop w:val="0"/>
      <w:marBottom w:val="0"/>
      <w:divBdr>
        <w:top w:val="none" w:sz="0" w:space="0" w:color="auto"/>
        <w:left w:val="none" w:sz="0" w:space="0" w:color="auto"/>
        <w:bottom w:val="none" w:sz="0" w:space="0" w:color="auto"/>
        <w:right w:val="none" w:sz="0" w:space="0" w:color="auto"/>
      </w:divBdr>
    </w:div>
    <w:div w:id="651449400">
      <w:bodyDiv w:val="1"/>
      <w:marLeft w:val="0"/>
      <w:marRight w:val="0"/>
      <w:marTop w:val="0"/>
      <w:marBottom w:val="0"/>
      <w:divBdr>
        <w:top w:val="none" w:sz="0" w:space="0" w:color="auto"/>
        <w:left w:val="none" w:sz="0" w:space="0" w:color="auto"/>
        <w:bottom w:val="none" w:sz="0" w:space="0" w:color="auto"/>
        <w:right w:val="none" w:sz="0" w:space="0" w:color="auto"/>
      </w:divBdr>
    </w:div>
    <w:div w:id="700399396">
      <w:bodyDiv w:val="1"/>
      <w:marLeft w:val="0"/>
      <w:marRight w:val="0"/>
      <w:marTop w:val="0"/>
      <w:marBottom w:val="0"/>
      <w:divBdr>
        <w:top w:val="none" w:sz="0" w:space="0" w:color="auto"/>
        <w:left w:val="none" w:sz="0" w:space="0" w:color="auto"/>
        <w:bottom w:val="none" w:sz="0" w:space="0" w:color="auto"/>
        <w:right w:val="none" w:sz="0" w:space="0" w:color="auto"/>
      </w:divBdr>
    </w:div>
    <w:div w:id="718626889">
      <w:bodyDiv w:val="1"/>
      <w:marLeft w:val="0"/>
      <w:marRight w:val="0"/>
      <w:marTop w:val="0"/>
      <w:marBottom w:val="0"/>
      <w:divBdr>
        <w:top w:val="none" w:sz="0" w:space="0" w:color="auto"/>
        <w:left w:val="none" w:sz="0" w:space="0" w:color="auto"/>
        <w:bottom w:val="none" w:sz="0" w:space="0" w:color="auto"/>
        <w:right w:val="none" w:sz="0" w:space="0" w:color="auto"/>
      </w:divBdr>
    </w:div>
    <w:div w:id="955791083">
      <w:bodyDiv w:val="1"/>
      <w:marLeft w:val="0"/>
      <w:marRight w:val="0"/>
      <w:marTop w:val="0"/>
      <w:marBottom w:val="0"/>
      <w:divBdr>
        <w:top w:val="none" w:sz="0" w:space="0" w:color="auto"/>
        <w:left w:val="none" w:sz="0" w:space="0" w:color="auto"/>
        <w:bottom w:val="none" w:sz="0" w:space="0" w:color="auto"/>
        <w:right w:val="none" w:sz="0" w:space="0" w:color="auto"/>
      </w:divBdr>
    </w:div>
    <w:div w:id="1025904089">
      <w:bodyDiv w:val="1"/>
      <w:marLeft w:val="0"/>
      <w:marRight w:val="0"/>
      <w:marTop w:val="0"/>
      <w:marBottom w:val="0"/>
      <w:divBdr>
        <w:top w:val="none" w:sz="0" w:space="0" w:color="auto"/>
        <w:left w:val="none" w:sz="0" w:space="0" w:color="auto"/>
        <w:bottom w:val="none" w:sz="0" w:space="0" w:color="auto"/>
        <w:right w:val="none" w:sz="0" w:space="0" w:color="auto"/>
      </w:divBdr>
    </w:div>
    <w:div w:id="1229263654">
      <w:bodyDiv w:val="1"/>
      <w:marLeft w:val="0"/>
      <w:marRight w:val="0"/>
      <w:marTop w:val="0"/>
      <w:marBottom w:val="0"/>
      <w:divBdr>
        <w:top w:val="none" w:sz="0" w:space="0" w:color="auto"/>
        <w:left w:val="none" w:sz="0" w:space="0" w:color="auto"/>
        <w:bottom w:val="none" w:sz="0" w:space="0" w:color="auto"/>
        <w:right w:val="none" w:sz="0" w:space="0" w:color="auto"/>
      </w:divBdr>
    </w:div>
    <w:div w:id="1287156528">
      <w:bodyDiv w:val="1"/>
      <w:marLeft w:val="0"/>
      <w:marRight w:val="0"/>
      <w:marTop w:val="0"/>
      <w:marBottom w:val="0"/>
      <w:divBdr>
        <w:top w:val="none" w:sz="0" w:space="0" w:color="auto"/>
        <w:left w:val="none" w:sz="0" w:space="0" w:color="auto"/>
        <w:bottom w:val="none" w:sz="0" w:space="0" w:color="auto"/>
        <w:right w:val="none" w:sz="0" w:space="0" w:color="auto"/>
      </w:divBdr>
    </w:div>
    <w:div w:id="1330476638">
      <w:bodyDiv w:val="1"/>
      <w:marLeft w:val="0"/>
      <w:marRight w:val="0"/>
      <w:marTop w:val="0"/>
      <w:marBottom w:val="0"/>
      <w:divBdr>
        <w:top w:val="none" w:sz="0" w:space="0" w:color="auto"/>
        <w:left w:val="none" w:sz="0" w:space="0" w:color="auto"/>
        <w:bottom w:val="none" w:sz="0" w:space="0" w:color="auto"/>
        <w:right w:val="none" w:sz="0" w:space="0" w:color="auto"/>
      </w:divBdr>
    </w:div>
    <w:div w:id="1631400361">
      <w:bodyDiv w:val="1"/>
      <w:marLeft w:val="0"/>
      <w:marRight w:val="0"/>
      <w:marTop w:val="0"/>
      <w:marBottom w:val="0"/>
      <w:divBdr>
        <w:top w:val="none" w:sz="0" w:space="0" w:color="auto"/>
        <w:left w:val="none" w:sz="0" w:space="0" w:color="auto"/>
        <w:bottom w:val="none" w:sz="0" w:space="0" w:color="auto"/>
        <w:right w:val="none" w:sz="0" w:space="0" w:color="auto"/>
      </w:divBdr>
    </w:div>
    <w:div w:id="1652252191">
      <w:bodyDiv w:val="1"/>
      <w:marLeft w:val="0"/>
      <w:marRight w:val="0"/>
      <w:marTop w:val="0"/>
      <w:marBottom w:val="0"/>
      <w:divBdr>
        <w:top w:val="none" w:sz="0" w:space="0" w:color="auto"/>
        <w:left w:val="none" w:sz="0" w:space="0" w:color="auto"/>
        <w:bottom w:val="none" w:sz="0" w:space="0" w:color="auto"/>
        <w:right w:val="none" w:sz="0" w:space="0" w:color="auto"/>
      </w:divBdr>
    </w:div>
    <w:div w:id="1753971809">
      <w:bodyDiv w:val="1"/>
      <w:marLeft w:val="0"/>
      <w:marRight w:val="0"/>
      <w:marTop w:val="0"/>
      <w:marBottom w:val="0"/>
      <w:divBdr>
        <w:top w:val="none" w:sz="0" w:space="0" w:color="auto"/>
        <w:left w:val="none" w:sz="0" w:space="0" w:color="auto"/>
        <w:bottom w:val="none" w:sz="0" w:space="0" w:color="auto"/>
        <w:right w:val="none" w:sz="0" w:space="0" w:color="auto"/>
      </w:divBdr>
    </w:div>
    <w:div w:id="1977180845">
      <w:bodyDiv w:val="1"/>
      <w:marLeft w:val="0"/>
      <w:marRight w:val="0"/>
      <w:marTop w:val="0"/>
      <w:marBottom w:val="0"/>
      <w:divBdr>
        <w:top w:val="none" w:sz="0" w:space="0" w:color="auto"/>
        <w:left w:val="none" w:sz="0" w:space="0" w:color="auto"/>
        <w:bottom w:val="none" w:sz="0" w:space="0" w:color="auto"/>
        <w:right w:val="none" w:sz="0" w:space="0" w:color="auto"/>
      </w:divBdr>
    </w:div>
    <w:div w:id="20862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2016-01-04T13:03:00Z</cp:lastPrinted>
  <dcterms:created xsi:type="dcterms:W3CDTF">2025-02-14T13:15:00Z</dcterms:created>
  <dcterms:modified xsi:type="dcterms:W3CDTF">2025-02-14T13:15:00Z</dcterms:modified>
</cp:coreProperties>
</file>