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094A164" w14:textId="77777777" w:rsidTr="00D7793B">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2"/>
              <w:gridCol w:w="900"/>
              <w:gridCol w:w="871"/>
              <w:gridCol w:w="997"/>
              <w:gridCol w:w="1169"/>
              <w:gridCol w:w="1098"/>
              <w:gridCol w:w="639"/>
              <w:gridCol w:w="851"/>
              <w:gridCol w:w="1358"/>
            </w:tblGrid>
            <w:tr w:rsidR="00D7793B" w:rsidRPr="008C75E4" w14:paraId="0B81EEDC" w14:textId="77777777" w:rsidTr="00F456C7">
              <w:trPr>
                <w:jc w:val="center"/>
              </w:trPr>
              <w:tc>
                <w:tcPr>
                  <w:tcW w:w="9045" w:type="dxa"/>
                  <w:gridSpan w:val="9"/>
                  <w:tcMar>
                    <w:top w:w="57" w:type="dxa"/>
                    <w:bottom w:w="57" w:type="dxa"/>
                  </w:tcMar>
                </w:tcPr>
                <w:p w14:paraId="2A3D44B7" w14:textId="77777777" w:rsidR="00D7793B" w:rsidRPr="008C75E4" w:rsidRDefault="00D7793B" w:rsidP="00D7793B">
                  <w:pPr>
                    <w:jc w:val="center"/>
                    <w:rPr>
                      <w:rFonts w:ascii="Calibri" w:hAnsi="Calibri"/>
                      <w:b/>
                      <w:szCs w:val="22"/>
                    </w:rPr>
                  </w:pPr>
                  <w:r w:rsidRPr="008C75E4">
                    <w:rPr>
                      <w:rFonts w:ascii="Calibri" w:hAnsi="Calibri"/>
                      <w:b/>
                      <w:szCs w:val="22"/>
                    </w:rPr>
                    <w:t>Report to be read in conjunction with the Decision Notice.</w:t>
                  </w:r>
                </w:p>
              </w:tc>
            </w:tr>
            <w:tr w:rsidR="00694447" w:rsidRPr="008C75E4" w14:paraId="30316091" w14:textId="77777777" w:rsidTr="00F456C7">
              <w:trPr>
                <w:trHeight w:val="251"/>
                <w:jc w:val="center"/>
              </w:trPr>
              <w:tc>
                <w:tcPr>
                  <w:tcW w:w="1162" w:type="dxa"/>
                  <w:tcMar>
                    <w:top w:w="57" w:type="dxa"/>
                    <w:bottom w:w="57" w:type="dxa"/>
                  </w:tcMar>
                </w:tcPr>
                <w:p w14:paraId="12B52140" w14:textId="77777777" w:rsidR="00D7793B" w:rsidRDefault="00D7793B" w:rsidP="00D7793B">
                  <w:pPr>
                    <w:jc w:val="center"/>
                    <w:rPr>
                      <w:rFonts w:ascii="Calibri" w:hAnsi="Calibri"/>
                      <w:b/>
                      <w:szCs w:val="22"/>
                    </w:rPr>
                  </w:pPr>
                  <w:r w:rsidRPr="008C75E4">
                    <w:rPr>
                      <w:rFonts w:ascii="Calibri" w:hAnsi="Calibri"/>
                      <w:b/>
                      <w:szCs w:val="22"/>
                    </w:rPr>
                    <w:t>Signed:</w:t>
                  </w:r>
                </w:p>
                <w:p w14:paraId="49C957FC" w14:textId="77777777" w:rsidR="00D7793B" w:rsidRPr="008C75E4" w:rsidRDefault="00D7793B" w:rsidP="00D7793B">
                  <w:pPr>
                    <w:jc w:val="center"/>
                    <w:rPr>
                      <w:rFonts w:ascii="Calibri" w:hAnsi="Calibri"/>
                      <w:b/>
                      <w:szCs w:val="22"/>
                    </w:rPr>
                  </w:pPr>
                </w:p>
              </w:tc>
              <w:tc>
                <w:tcPr>
                  <w:tcW w:w="900" w:type="dxa"/>
                </w:tcPr>
                <w:p w14:paraId="4C41402E" w14:textId="77777777" w:rsidR="00D7793B" w:rsidRPr="008C75E4" w:rsidRDefault="00D7793B" w:rsidP="00D7793B">
                  <w:pPr>
                    <w:jc w:val="center"/>
                    <w:rPr>
                      <w:rFonts w:ascii="Calibri" w:hAnsi="Calibri"/>
                      <w:b/>
                      <w:szCs w:val="22"/>
                    </w:rPr>
                  </w:pPr>
                  <w:r w:rsidRPr="008C75E4">
                    <w:rPr>
                      <w:rFonts w:ascii="Calibri" w:hAnsi="Calibri"/>
                      <w:b/>
                      <w:szCs w:val="22"/>
                    </w:rPr>
                    <w:t>Officer:</w:t>
                  </w:r>
                </w:p>
              </w:tc>
              <w:tc>
                <w:tcPr>
                  <w:tcW w:w="871" w:type="dxa"/>
                </w:tcPr>
                <w:p w14:paraId="7E47F22F" w14:textId="77777777" w:rsidR="00D7793B" w:rsidRPr="004D33C8" w:rsidRDefault="00D7793B" w:rsidP="00D7793B">
                  <w:pPr>
                    <w:jc w:val="center"/>
                    <w:rPr>
                      <w:rFonts w:ascii="Calibri" w:hAnsi="Calibri"/>
                      <w:szCs w:val="22"/>
                    </w:rPr>
                  </w:pPr>
                  <w:r w:rsidRPr="004D33C8">
                    <w:rPr>
                      <w:rFonts w:ascii="Calibri" w:hAnsi="Calibri"/>
                      <w:szCs w:val="22"/>
                    </w:rPr>
                    <w:t>BT</w:t>
                  </w:r>
                </w:p>
              </w:tc>
              <w:tc>
                <w:tcPr>
                  <w:tcW w:w="997" w:type="dxa"/>
                </w:tcPr>
                <w:p w14:paraId="2922EE3C" w14:textId="77777777" w:rsidR="00D7793B" w:rsidRPr="008C75E4" w:rsidRDefault="00D7793B" w:rsidP="00D7793B">
                  <w:pPr>
                    <w:jc w:val="center"/>
                    <w:rPr>
                      <w:rFonts w:ascii="Calibri" w:hAnsi="Calibri"/>
                      <w:b/>
                      <w:szCs w:val="22"/>
                    </w:rPr>
                  </w:pPr>
                  <w:r w:rsidRPr="008C75E4">
                    <w:rPr>
                      <w:rFonts w:ascii="Calibri" w:hAnsi="Calibri"/>
                      <w:b/>
                      <w:szCs w:val="22"/>
                    </w:rPr>
                    <w:t>Date:</w:t>
                  </w:r>
                </w:p>
              </w:tc>
              <w:tc>
                <w:tcPr>
                  <w:tcW w:w="1169" w:type="dxa"/>
                </w:tcPr>
                <w:p w14:paraId="3C1A42B2" w14:textId="71E51D49" w:rsidR="00D7793B" w:rsidRPr="004D33C8" w:rsidRDefault="00B92CC1" w:rsidP="00D7793B">
                  <w:pPr>
                    <w:jc w:val="center"/>
                    <w:rPr>
                      <w:rFonts w:ascii="Calibri" w:hAnsi="Calibri"/>
                      <w:szCs w:val="22"/>
                    </w:rPr>
                  </w:pPr>
                  <w:r>
                    <w:rPr>
                      <w:rFonts w:ascii="Calibri" w:hAnsi="Calibri"/>
                      <w:szCs w:val="22"/>
                    </w:rPr>
                    <w:t>12</w:t>
                  </w:r>
                  <w:r w:rsidR="00D7793B">
                    <w:rPr>
                      <w:rFonts w:ascii="Calibri" w:hAnsi="Calibri"/>
                      <w:szCs w:val="22"/>
                    </w:rPr>
                    <w:t>/</w:t>
                  </w:r>
                  <w:r w:rsidR="00590F60">
                    <w:rPr>
                      <w:rFonts w:ascii="Calibri" w:hAnsi="Calibri"/>
                      <w:szCs w:val="22"/>
                    </w:rPr>
                    <w:t>3</w:t>
                  </w:r>
                  <w:r w:rsidR="00D7793B">
                    <w:rPr>
                      <w:rFonts w:ascii="Calibri" w:hAnsi="Calibri"/>
                      <w:szCs w:val="22"/>
                    </w:rPr>
                    <w:t>/2</w:t>
                  </w:r>
                  <w:r w:rsidR="00841E43">
                    <w:rPr>
                      <w:rFonts w:ascii="Calibri" w:hAnsi="Calibri"/>
                      <w:szCs w:val="22"/>
                    </w:rPr>
                    <w:t>5</w:t>
                  </w:r>
                </w:p>
              </w:tc>
              <w:tc>
                <w:tcPr>
                  <w:tcW w:w="1098" w:type="dxa"/>
                </w:tcPr>
                <w:p w14:paraId="567D8AC4" w14:textId="77777777" w:rsidR="00D7793B" w:rsidRPr="008C75E4" w:rsidRDefault="00D7793B" w:rsidP="00D7793B">
                  <w:pPr>
                    <w:jc w:val="center"/>
                    <w:rPr>
                      <w:rFonts w:ascii="Calibri" w:hAnsi="Calibri"/>
                      <w:b/>
                      <w:szCs w:val="22"/>
                    </w:rPr>
                  </w:pPr>
                  <w:r w:rsidRPr="008C75E4">
                    <w:rPr>
                      <w:rFonts w:ascii="Calibri" w:hAnsi="Calibri"/>
                      <w:b/>
                      <w:szCs w:val="22"/>
                    </w:rPr>
                    <w:t>Manager:</w:t>
                  </w:r>
                </w:p>
              </w:tc>
              <w:tc>
                <w:tcPr>
                  <w:tcW w:w="639" w:type="dxa"/>
                </w:tcPr>
                <w:p w14:paraId="294174D2" w14:textId="1F745533" w:rsidR="00D7793B" w:rsidRPr="008C75E4" w:rsidRDefault="00CF0D50" w:rsidP="00D7793B">
                  <w:pPr>
                    <w:jc w:val="center"/>
                    <w:rPr>
                      <w:rFonts w:ascii="Calibri" w:hAnsi="Calibri"/>
                      <w:b/>
                      <w:szCs w:val="22"/>
                    </w:rPr>
                  </w:pPr>
                  <w:r>
                    <w:rPr>
                      <w:rFonts w:ascii="Calibri" w:hAnsi="Calibri"/>
                      <w:b/>
                      <w:szCs w:val="22"/>
                    </w:rPr>
                    <w:t>LH</w:t>
                  </w:r>
                </w:p>
              </w:tc>
              <w:tc>
                <w:tcPr>
                  <w:tcW w:w="851" w:type="dxa"/>
                </w:tcPr>
                <w:p w14:paraId="4F2B5A2E" w14:textId="77777777" w:rsidR="00D7793B" w:rsidRPr="008C75E4" w:rsidRDefault="00D7793B" w:rsidP="00D7793B">
                  <w:pPr>
                    <w:jc w:val="center"/>
                    <w:rPr>
                      <w:rFonts w:ascii="Calibri" w:hAnsi="Calibri"/>
                      <w:b/>
                      <w:szCs w:val="22"/>
                    </w:rPr>
                  </w:pPr>
                  <w:r w:rsidRPr="008C75E4">
                    <w:rPr>
                      <w:rFonts w:ascii="Calibri" w:hAnsi="Calibri"/>
                      <w:b/>
                      <w:szCs w:val="22"/>
                    </w:rPr>
                    <w:t>Date:</w:t>
                  </w:r>
                </w:p>
              </w:tc>
              <w:tc>
                <w:tcPr>
                  <w:tcW w:w="1358" w:type="dxa"/>
                </w:tcPr>
                <w:p w14:paraId="4D2F71E6" w14:textId="5D318106" w:rsidR="00D7793B" w:rsidRPr="008C75E4" w:rsidRDefault="00CF0D50" w:rsidP="00D7793B">
                  <w:pPr>
                    <w:rPr>
                      <w:rFonts w:ascii="Calibri" w:hAnsi="Calibri"/>
                      <w:b/>
                      <w:szCs w:val="22"/>
                    </w:rPr>
                  </w:pPr>
                  <w:r>
                    <w:rPr>
                      <w:rFonts w:ascii="Calibri" w:hAnsi="Calibri"/>
                      <w:b/>
                      <w:szCs w:val="22"/>
                    </w:rPr>
                    <w:t>13/3/25</w:t>
                  </w:r>
                </w:p>
              </w:tc>
            </w:tr>
            <w:tr w:rsidR="00D7793B" w:rsidRPr="008C75E4" w14:paraId="039D3A02" w14:textId="77777777" w:rsidTr="00F456C7">
              <w:trPr>
                <w:jc w:val="center"/>
              </w:trPr>
              <w:tc>
                <w:tcPr>
                  <w:tcW w:w="9045" w:type="dxa"/>
                  <w:gridSpan w:val="9"/>
                  <w:tcBorders>
                    <w:left w:val="nil"/>
                    <w:right w:val="nil"/>
                  </w:tcBorders>
                  <w:tcMar>
                    <w:top w:w="57" w:type="dxa"/>
                    <w:bottom w:w="57" w:type="dxa"/>
                  </w:tcMar>
                </w:tcPr>
                <w:p w14:paraId="7152769C" w14:textId="77777777" w:rsidR="00D7793B" w:rsidRPr="008C75E4" w:rsidRDefault="00D7793B" w:rsidP="00D7793B">
                  <w:pPr>
                    <w:jc w:val="center"/>
                    <w:rPr>
                      <w:rFonts w:ascii="Calibri" w:hAnsi="Calibri"/>
                      <w:b/>
                      <w:szCs w:val="22"/>
                    </w:rPr>
                  </w:pPr>
                </w:p>
              </w:tc>
            </w:tr>
          </w:tbl>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7793B">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A9462D" w:rsidR="004A5EA9" w:rsidRPr="006C4E21" w:rsidRDefault="006C4E21" w:rsidP="008542DE">
            <w:pPr>
              <w:rPr>
                <w:rFonts w:ascii="Calibri" w:hAnsi="Calibri"/>
                <w:szCs w:val="22"/>
              </w:rPr>
            </w:pPr>
            <w:r w:rsidRPr="006C4E21">
              <w:rPr>
                <w:rFonts w:ascii="Calibri" w:hAnsi="Calibri"/>
                <w:szCs w:val="22"/>
              </w:rPr>
              <w:t>3/202</w:t>
            </w:r>
            <w:r w:rsidR="001B11F1">
              <w:rPr>
                <w:rFonts w:ascii="Calibri" w:hAnsi="Calibri"/>
                <w:szCs w:val="22"/>
              </w:rPr>
              <w:t>5/0</w:t>
            </w:r>
            <w:r w:rsidR="009A0676">
              <w:rPr>
                <w:rFonts w:ascii="Calibri" w:hAnsi="Calibri"/>
                <w:szCs w:val="22"/>
              </w:rPr>
              <w:t>0</w:t>
            </w:r>
            <w:r w:rsidR="00441A78">
              <w:rPr>
                <w:rFonts w:ascii="Calibri" w:hAnsi="Calibri"/>
                <w:szCs w:val="22"/>
              </w:rPr>
              <w:t>48</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D7793B">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0056ABA" w:rsidR="004A5EA9" w:rsidRPr="006C4E21" w:rsidRDefault="00841E43" w:rsidP="002C6277">
            <w:pPr>
              <w:rPr>
                <w:rFonts w:ascii="Calibri" w:hAnsi="Calibri"/>
                <w:szCs w:val="22"/>
              </w:rPr>
            </w:pPr>
            <w:r>
              <w:rPr>
                <w:rFonts w:ascii="Calibri" w:hAnsi="Calibri"/>
                <w:szCs w:val="22"/>
              </w:rPr>
              <w:t>N/A</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D7793B">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8DE330" w:rsidR="004A5EA9" w:rsidRPr="006C4E21" w:rsidRDefault="006C4E21" w:rsidP="00811771">
            <w:pPr>
              <w:rPr>
                <w:rFonts w:ascii="Calibri" w:hAnsi="Calibri"/>
                <w:szCs w:val="22"/>
              </w:rPr>
            </w:pPr>
            <w:r w:rsidRPr="006C4E21">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7793B">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DE49D5A" w:rsidR="004A5EA9" w:rsidRPr="00D2449B" w:rsidRDefault="00B245C1" w:rsidP="002A01CF">
            <w:pPr>
              <w:jc w:val="center"/>
              <w:rPr>
                <w:rFonts w:ascii="Calibri" w:hAnsi="Calibri"/>
                <w:b/>
                <w:szCs w:val="22"/>
              </w:rPr>
            </w:pPr>
            <w:r>
              <w:rPr>
                <w:rFonts w:ascii="Calibri" w:hAnsi="Calibri"/>
                <w:b/>
                <w:szCs w:val="22"/>
              </w:rPr>
              <w:t>APPROVAL</w:t>
            </w:r>
          </w:p>
        </w:tc>
      </w:tr>
      <w:tr w:rsidR="004A5EA9" w:rsidRPr="00D2449B" w14:paraId="7813B96A"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4A45C8B" w:rsidR="004A5EA9" w:rsidRPr="002C6277" w:rsidRDefault="00140683">
            <w:pPr>
              <w:rPr>
                <w:rFonts w:ascii="Calibri" w:hAnsi="Calibri"/>
                <w:szCs w:val="22"/>
              </w:rPr>
            </w:pPr>
            <w:r w:rsidRPr="00140683">
              <w:rPr>
                <w:rFonts w:ascii="Calibri" w:hAnsi="Calibri"/>
                <w:szCs w:val="22"/>
              </w:rPr>
              <w:t>Certificate of Lawfulness for proposed internal alterations to convert redundant first floor staff accommodation into two additional care units, increasing the number of residents to 12.</w:t>
            </w:r>
          </w:p>
        </w:tc>
      </w:tr>
      <w:tr w:rsidR="002A01CF" w:rsidRPr="00D2449B" w14:paraId="52988241"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4D241E8" w:rsidR="002A01CF" w:rsidRPr="00140683" w:rsidRDefault="00140683" w:rsidP="00A42E82">
            <w:pPr>
              <w:rPr>
                <w:rFonts w:ascii="Calibri" w:hAnsi="Calibri"/>
                <w:szCs w:val="22"/>
              </w:rPr>
            </w:pPr>
            <w:r w:rsidRPr="00140683">
              <w:rPr>
                <w:rFonts w:ascii="Calibri" w:hAnsi="Calibri"/>
                <w:szCs w:val="22"/>
              </w:rPr>
              <w:t>Castle View House, 38 Castle View, Clitheroe, BB7 2DT.</w:t>
            </w:r>
          </w:p>
        </w:tc>
      </w:tr>
      <w:tr w:rsidR="00A95D89" w:rsidRPr="00D2449B" w14:paraId="3FB99B2E"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64F9A19" w:rsidR="002A01CF" w:rsidRPr="006C4E21" w:rsidRDefault="002109BA">
            <w:pPr>
              <w:rPr>
                <w:rFonts w:ascii="Calibri" w:hAnsi="Calibri"/>
                <w:bCs/>
                <w:szCs w:val="22"/>
              </w:rPr>
            </w:pPr>
            <w:r>
              <w:rPr>
                <w:rFonts w:ascii="Calibri" w:hAnsi="Calibri"/>
                <w:bCs/>
                <w:szCs w:val="22"/>
              </w:rPr>
              <w:t>N/A</w:t>
            </w:r>
          </w:p>
        </w:tc>
      </w:tr>
      <w:tr w:rsidR="00C618DB" w:rsidRPr="00D2449B" w14:paraId="639E958B"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EF2BAA" w:rsidRPr="00D2449B" w14:paraId="1EA955B4" w14:textId="77777777" w:rsidTr="00DD2BB0">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6B45ED1C" w:rsidR="00EF2BAA" w:rsidRPr="006C4E21" w:rsidRDefault="00EF2BAA">
            <w:pPr>
              <w:rPr>
                <w:rFonts w:ascii="Calibri" w:hAnsi="Calibri"/>
                <w:bCs/>
                <w:szCs w:val="22"/>
              </w:rPr>
            </w:pPr>
            <w:r>
              <w:rPr>
                <w:rFonts w:ascii="Calibri" w:hAnsi="Calibri"/>
                <w:bCs/>
                <w:szCs w:val="22"/>
              </w:rPr>
              <w:t>N/A</w:t>
            </w:r>
          </w:p>
        </w:tc>
      </w:tr>
      <w:tr w:rsidR="00A54DF1" w:rsidRPr="00D2449B" w14:paraId="62663AAF" w14:textId="77777777" w:rsidTr="00D7793B">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E3F4E8B" w:rsidR="00A54DF1" w:rsidRPr="00C0704D" w:rsidRDefault="00A54DF1" w:rsidP="00A54DF1">
            <w:pPr>
              <w:jc w:val="right"/>
              <w:rPr>
                <w:rFonts w:ascii="Calibri" w:hAnsi="Calibri"/>
                <w:szCs w:val="22"/>
              </w:rPr>
            </w:pPr>
          </w:p>
        </w:tc>
      </w:tr>
      <w:tr w:rsidR="00C0704D" w:rsidRPr="00D2449B" w14:paraId="29EBDA1F"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8D26E13" w:rsidR="00C0704D" w:rsidRPr="00C0704D" w:rsidRDefault="00694447" w:rsidP="00692B60">
            <w:pPr>
              <w:rPr>
                <w:rFonts w:ascii="Calibri" w:hAnsi="Calibri"/>
                <w:szCs w:val="22"/>
              </w:rPr>
            </w:pPr>
            <w:r>
              <w:rPr>
                <w:rFonts w:ascii="Calibri" w:hAnsi="Calibri"/>
                <w:szCs w:val="22"/>
              </w:rPr>
              <w:t>None.</w:t>
            </w:r>
          </w:p>
        </w:tc>
      </w:tr>
      <w:tr w:rsidR="00C0704D" w:rsidRPr="00D2449B" w14:paraId="1CDFA4C3"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4E1ABE" w14:textId="77777777" w:rsidR="00BC52F2" w:rsidRDefault="00BC52F2" w:rsidP="00686398">
            <w:pPr>
              <w:rPr>
                <w:rFonts w:ascii="Calibri" w:hAnsi="Calibri"/>
                <w:i/>
                <w:iCs/>
                <w:szCs w:val="22"/>
              </w:rPr>
            </w:pPr>
          </w:p>
          <w:p w14:paraId="73E52610" w14:textId="1F2937E4" w:rsidR="00BF6319" w:rsidRDefault="00BF6319" w:rsidP="00BF6319">
            <w:pPr>
              <w:rPr>
                <w:rFonts w:ascii="Calibri" w:hAnsi="Calibri"/>
                <w:szCs w:val="22"/>
              </w:rPr>
            </w:pPr>
            <w:r w:rsidRPr="00995A46">
              <w:rPr>
                <w:rFonts w:ascii="Calibri" w:hAnsi="Calibri"/>
                <w:szCs w:val="22"/>
              </w:rPr>
              <w:t>Town and Country Planning Act 1990</w:t>
            </w:r>
            <w:r>
              <w:rPr>
                <w:rFonts w:ascii="Calibri" w:hAnsi="Calibri"/>
                <w:szCs w:val="22"/>
              </w:rPr>
              <w:t>: Section</w:t>
            </w:r>
            <w:r w:rsidRPr="00995A46">
              <w:rPr>
                <w:rFonts w:ascii="Calibri" w:hAnsi="Calibri"/>
                <w:szCs w:val="22"/>
              </w:rPr>
              <w:t xml:space="preserve"> </w:t>
            </w:r>
            <w:r w:rsidR="00140683">
              <w:rPr>
                <w:rFonts w:ascii="Calibri" w:hAnsi="Calibri"/>
                <w:szCs w:val="22"/>
              </w:rPr>
              <w:t>55</w:t>
            </w:r>
            <w:r w:rsidR="005C0AAC">
              <w:rPr>
                <w:rFonts w:ascii="Calibri" w:hAnsi="Calibri"/>
                <w:szCs w:val="22"/>
              </w:rPr>
              <w:t>,</w:t>
            </w:r>
            <w:r w:rsidR="00841ED9">
              <w:rPr>
                <w:rFonts w:ascii="Calibri" w:hAnsi="Calibri"/>
                <w:szCs w:val="22"/>
              </w:rPr>
              <w:t xml:space="preserve"> 57,</w:t>
            </w:r>
            <w:r w:rsidR="005C0AAC">
              <w:rPr>
                <w:rFonts w:ascii="Calibri" w:hAnsi="Calibri"/>
                <w:szCs w:val="22"/>
              </w:rPr>
              <w:t xml:space="preserve"> 191 (2) &amp; </w:t>
            </w:r>
            <w:r w:rsidRPr="00995A46">
              <w:rPr>
                <w:rFonts w:ascii="Calibri" w:hAnsi="Calibri"/>
                <w:szCs w:val="22"/>
              </w:rPr>
              <w:t>19</w:t>
            </w:r>
            <w:r>
              <w:rPr>
                <w:rFonts w:ascii="Calibri" w:hAnsi="Calibri"/>
                <w:szCs w:val="22"/>
              </w:rPr>
              <w:t>2</w:t>
            </w:r>
          </w:p>
          <w:p w14:paraId="1E95E7B2" w14:textId="77777777" w:rsidR="009A0676" w:rsidRDefault="009A0676" w:rsidP="00C0704D">
            <w:pPr>
              <w:rPr>
                <w:rFonts w:ascii="Calibri" w:hAnsi="Calibri"/>
                <w:szCs w:val="22"/>
              </w:rPr>
            </w:pPr>
          </w:p>
          <w:p w14:paraId="03F5E778" w14:textId="67BAE789" w:rsidR="00F9645B" w:rsidRPr="00681E01" w:rsidRDefault="00681E01" w:rsidP="001F1BF5">
            <w:pPr>
              <w:rPr>
                <w:rFonts w:ascii="Calibri" w:hAnsi="Calibri"/>
                <w:szCs w:val="22"/>
              </w:rPr>
            </w:pPr>
            <w:r w:rsidRPr="00681E01">
              <w:rPr>
                <w:rFonts w:ascii="Calibri" w:hAnsi="Calibri"/>
                <w:szCs w:val="22"/>
              </w:rPr>
              <w:t xml:space="preserve">National Planning Practice Guidance: Lawful </w:t>
            </w:r>
            <w:r w:rsidR="00686398">
              <w:rPr>
                <w:rFonts w:ascii="Calibri" w:hAnsi="Calibri"/>
                <w:szCs w:val="22"/>
              </w:rPr>
              <w:t>D</w:t>
            </w:r>
            <w:r w:rsidRPr="00681E01">
              <w:rPr>
                <w:rFonts w:ascii="Calibri" w:hAnsi="Calibri"/>
                <w:szCs w:val="22"/>
              </w:rPr>
              <w:t>evelopment Certificates</w:t>
            </w:r>
          </w:p>
          <w:p w14:paraId="6C4C318E" w14:textId="2253CD40" w:rsidR="001F1BF5" w:rsidRPr="00D2449B" w:rsidRDefault="001F1BF5" w:rsidP="001F1BF5">
            <w:pPr>
              <w:rPr>
                <w:rFonts w:ascii="Calibri" w:hAnsi="Calibri"/>
                <w:b/>
                <w:szCs w:val="22"/>
              </w:rPr>
            </w:pPr>
          </w:p>
        </w:tc>
      </w:tr>
      <w:tr w:rsidR="00C0704D" w:rsidRPr="00D2449B" w14:paraId="08181FD6"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649D2F69" w14:textId="77777777" w:rsidR="00841E43" w:rsidRDefault="00841E43" w:rsidP="00841E43">
            <w:pPr>
              <w:pStyle w:val="PLANNING"/>
              <w:rPr>
                <w:rFonts w:ascii="Calibri" w:hAnsi="Calibri"/>
                <w:b/>
                <w:bCs/>
                <w:szCs w:val="22"/>
              </w:rPr>
            </w:pPr>
          </w:p>
          <w:p w14:paraId="45816A98" w14:textId="7629E68F" w:rsidR="009A0676" w:rsidRDefault="00140683" w:rsidP="009A0676">
            <w:pPr>
              <w:pStyle w:val="PLANNING"/>
              <w:rPr>
                <w:rFonts w:ascii="Calibri" w:hAnsi="Calibri"/>
                <w:b/>
                <w:bCs/>
                <w:szCs w:val="22"/>
              </w:rPr>
            </w:pPr>
            <w:r w:rsidRPr="00140683">
              <w:rPr>
                <w:rFonts w:ascii="Calibri" w:hAnsi="Calibri"/>
                <w:b/>
                <w:bCs/>
                <w:szCs w:val="22"/>
              </w:rPr>
              <w:t>3/2000/0340:</w:t>
            </w:r>
          </w:p>
          <w:p w14:paraId="62D2D388" w14:textId="68953258" w:rsidR="00140683" w:rsidRDefault="00140683" w:rsidP="009A0676">
            <w:pPr>
              <w:pStyle w:val="PLANNING"/>
              <w:rPr>
                <w:rFonts w:ascii="Calibri" w:hAnsi="Calibri"/>
                <w:szCs w:val="22"/>
              </w:rPr>
            </w:pPr>
            <w:r w:rsidRPr="00140683">
              <w:rPr>
                <w:rFonts w:ascii="Calibri" w:hAnsi="Calibri"/>
                <w:szCs w:val="22"/>
              </w:rPr>
              <w:t>Free standing sectional wooden shed to store garden equipment and mobility buggies (Approved)</w:t>
            </w:r>
          </w:p>
          <w:p w14:paraId="62E2B3E9" w14:textId="77777777" w:rsidR="00140683" w:rsidRDefault="00140683" w:rsidP="009A0676">
            <w:pPr>
              <w:pStyle w:val="PLANNING"/>
              <w:rPr>
                <w:rFonts w:ascii="Calibri" w:hAnsi="Calibri"/>
                <w:szCs w:val="22"/>
              </w:rPr>
            </w:pPr>
          </w:p>
          <w:p w14:paraId="25D61642" w14:textId="57BFF1AE" w:rsidR="00140683" w:rsidRPr="00140683" w:rsidRDefault="00140683" w:rsidP="009A0676">
            <w:pPr>
              <w:pStyle w:val="PLANNING"/>
              <w:rPr>
                <w:rFonts w:ascii="Calibri" w:hAnsi="Calibri"/>
                <w:b/>
                <w:bCs/>
                <w:szCs w:val="22"/>
              </w:rPr>
            </w:pPr>
            <w:r w:rsidRPr="00140683">
              <w:rPr>
                <w:rFonts w:ascii="Calibri" w:hAnsi="Calibri"/>
                <w:b/>
                <w:bCs/>
                <w:szCs w:val="22"/>
              </w:rPr>
              <w:t>3/1997/0358:</w:t>
            </w:r>
          </w:p>
          <w:p w14:paraId="4CFD2ECE" w14:textId="58AA5546" w:rsidR="00140683" w:rsidRDefault="00140683" w:rsidP="00140683">
            <w:pPr>
              <w:pStyle w:val="PLANNING"/>
              <w:rPr>
                <w:rFonts w:ascii="Calibri" w:hAnsi="Calibri"/>
                <w:szCs w:val="22"/>
              </w:rPr>
            </w:pPr>
            <w:r>
              <w:rPr>
                <w:rFonts w:ascii="Calibri" w:hAnsi="Calibri"/>
                <w:szCs w:val="22"/>
              </w:rPr>
              <w:t>C</w:t>
            </w:r>
            <w:r w:rsidRPr="00140683">
              <w:rPr>
                <w:rFonts w:ascii="Calibri" w:hAnsi="Calibri"/>
                <w:szCs w:val="22"/>
              </w:rPr>
              <w:t>onstruction of single storey detached sun lounge</w:t>
            </w:r>
            <w:r>
              <w:rPr>
                <w:rFonts w:ascii="Calibri" w:hAnsi="Calibri"/>
                <w:szCs w:val="22"/>
              </w:rPr>
              <w:t xml:space="preserve"> (Approved)</w:t>
            </w:r>
          </w:p>
          <w:p w14:paraId="33ABB8B9" w14:textId="77777777" w:rsidR="00140683" w:rsidRDefault="00140683" w:rsidP="00140683">
            <w:pPr>
              <w:pStyle w:val="PLANNING"/>
              <w:rPr>
                <w:rFonts w:ascii="Calibri" w:hAnsi="Calibri"/>
                <w:szCs w:val="22"/>
              </w:rPr>
            </w:pPr>
          </w:p>
          <w:p w14:paraId="1B6CA986" w14:textId="5751CA9D" w:rsidR="00140683" w:rsidRPr="00140683" w:rsidRDefault="00140683" w:rsidP="00140683">
            <w:pPr>
              <w:pStyle w:val="PLANNING"/>
              <w:rPr>
                <w:rFonts w:ascii="Calibri" w:hAnsi="Calibri"/>
                <w:b/>
                <w:bCs/>
                <w:szCs w:val="22"/>
              </w:rPr>
            </w:pPr>
            <w:r w:rsidRPr="00140683">
              <w:rPr>
                <w:rFonts w:ascii="Calibri" w:hAnsi="Calibri"/>
                <w:b/>
                <w:bCs/>
                <w:szCs w:val="22"/>
              </w:rPr>
              <w:t>3/1991/0559:</w:t>
            </w:r>
          </w:p>
          <w:p w14:paraId="29C86D79" w14:textId="7EC3D6A1" w:rsidR="00140683" w:rsidRPr="00140683" w:rsidRDefault="00140683" w:rsidP="009A0676">
            <w:pPr>
              <w:pStyle w:val="PLANNING"/>
              <w:rPr>
                <w:rFonts w:ascii="Calibri" w:hAnsi="Calibri"/>
                <w:szCs w:val="22"/>
              </w:rPr>
            </w:pPr>
            <w:r>
              <w:rPr>
                <w:rFonts w:ascii="Calibri" w:hAnsi="Calibri"/>
                <w:szCs w:val="22"/>
              </w:rPr>
              <w:t>E</w:t>
            </w:r>
            <w:r w:rsidRPr="00140683">
              <w:rPr>
                <w:rFonts w:ascii="Calibri" w:hAnsi="Calibri"/>
                <w:szCs w:val="22"/>
              </w:rPr>
              <w:t>rection of 10 bedroom supportive house, with communal facilities and managers flat</w:t>
            </w:r>
            <w:r>
              <w:rPr>
                <w:rFonts w:ascii="Calibri" w:hAnsi="Calibri"/>
                <w:szCs w:val="22"/>
              </w:rPr>
              <w:t xml:space="preserve"> (Approved)</w:t>
            </w:r>
          </w:p>
          <w:p w14:paraId="17147D50" w14:textId="08BEB56A" w:rsidR="00562F16" w:rsidRPr="00841E43" w:rsidRDefault="00562F16" w:rsidP="009A0676">
            <w:pPr>
              <w:pStyle w:val="PLANNING"/>
              <w:rPr>
                <w:rFonts w:ascii="Calibri" w:hAnsi="Calibri"/>
                <w:b/>
                <w:bCs/>
                <w:szCs w:val="22"/>
              </w:rPr>
            </w:pPr>
          </w:p>
        </w:tc>
      </w:tr>
      <w:tr w:rsidR="00C0704D" w:rsidRPr="00D2449B" w14:paraId="6AAC3B0A"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A45459B"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E8C3841" w14:textId="77777777" w:rsidR="00F9645B" w:rsidRDefault="00F9645B" w:rsidP="00440CB6">
            <w:pPr>
              <w:pStyle w:val="Header"/>
              <w:tabs>
                <w:tab w:val="clear" w:pos="4153"/>
                <w:tab w:val="clear" w:pos="8306"/>
              </w:tabs>
              <w:contextualSpacing/>
              <w:jc w:val="both"/>
              <w:rPr>
                <w:rFonts w:ascii="Calibri" w:hAnsi="Calibri"/>
                <w:b/>
                <w:szCs w:val="22"/>
              </w:rPr>
            </w:pPr>
          </w:p>
          <w:p w14:paraId="7A316943" w14:textId="4FEFD124" w:rsidR="001B11F1" w:rsidRDefault="008F4D31" w:rsidP="00140683">
            <w:pPr>
              <w:pStyle w:val="Header"/>
              <w:tabs>
                <w:tab w:val="clear" w:pos="4153"/>
                <w:tab w:val="clear" w:pos="8306"/>
              </w:tabs>
              <w:contextualSpacing/>
              <w:jc w:val="both"/>
              <w:rPr>
                <w:rFonts w:ascii="Calibri" w:hAnsi="Calibri"/>
                <w:bCs/>
                <w:szCs w:val="22"/>
              </w:rPr>
            </w:pPr>
            <w:r w:rsidRPr="00E72524">
              <w:rPr>
                <w:rFonts w:ascii="Calibri" w:hAnsi="Calibri"/>
                <w:bCs/>
                <w:szCs w:val="22"/>
              </w:rPr>
              <w:t xml:space="preserve">The application relates to a two storey </w:t>
            </w:r>
            <w:r w:rsidR="0046213D">
              <w:rPr>
                <w:rFonts w:ascii="Calibri" w:hAnsi="Calibri"/>
                <w:bCs/>
                <w:szCs w:val="22"/>
              </w:rPr>
              <w:t>assisted living complex</w:t>
            </w:r>
            <w:r w:rsidRPr="00E72524">
              <w:rPr>
                <w:rFonts w:ascii="Calibri" w:hAnsi="Calibri"/>
                <w:bCs/>
                <w:szCs w:val="22"/>
              </w:rPr>
              <w:t xml:space="preserve"> in Clitheroe known as </w:t>
            </w:r>
            <w:r w:rsidR="0046213D">
              <w:rPr>
                <w:rFonts w:ascii="Calibri" w:hAnsi="Calibri"/>
                <w:bCs/>
                <w:szCs w:val="22"/>
              </w:rPr>
              <w:t xml:space="preserve">Castle View House. The application site </w:t>
            </w:r>
            <w:r w:rsidR="00AA13CB">
              <w:rPr>
                <w:rFonts w:ascii="Calibri" w:hAnsi="Calibri"/>
                <w:bCs/>
                <w:szCs w:val="22"/>
              </w:rPr>
              <w:t xml:space="preserve">lies to the South-east of Clitheroe train Station on the Eastern side of </w:t>
            </w:r>
            <w:r w:rsidR="00AA13CB">
              <w:rPr>
                <w:rFonts w:ascii="Calibri" w:hAnsi="Calibri"/>
                <w:bCs/>
                <w:szCs w:val="22"/>
              </w:rPr>
              <w:lastRenderedPageBreak/>
              <w:t xml:space="preserve">Station Road and Booths car park with access to the site being from Castle View. </w:t>
            </w:r>
            <w:r w:rsidRPr="00E72524">
              <w:rPr>
                <w:rFonts w:ascii="Calibri" w:hAnsi="Calibri"/>
                <w:bCs/>
                <w:szCs w:val="22"/>
              </w:rPr>
              <w:t xml:space="preserve">The </w:t>
            </w:r>
            <w:r w:rsidR="00AA13CB">
              <w:rPr>
                <w:rFonts w:ascii="Calibri" w:hAnsi="Calibri"/>
                <w:bCs/>
                <w:szCs w:val="22"/>
              </w:rPr>
              <w:t xml:space="preserve">application property roughly comprises an ‘L’ shaped footprint with pebble dashed render and stone elevations, UPVC windows and a cross gabled slated roof. </w:t>
            </w:r>
            <w:r w:rsidRPr="00E72524">
              <w:rPr>
                <w:rFonts w:ascii="Calibri" w:hAnsi="Calibri"/>
                <w:bCs/>
                <w:szCs w:val="22"/>
              </w:rPr>
              <w:t>The application property is sited within the defined settlement area of Clitheroe within a residential area with Clitheroe town centre lying within walking distance of the application site.</w:t>
            </w:r>
          </w:p>
          <w:p w14:paraId="62370E9F" w14:textId="6AE92D91" w:rsidR="00140683" w:rsidRPr="006C2BFA" w:rsidRDefault="00140683" w:rsidP="00140683">
            <w:pPr>
              <w:pStyle w:val="Header"/>
              <w:tabs>
                <w:tab w:val="clear" w:pos="4153"/>
                <w:tab w:val="clear" w:pos="8306"/>
              </w:tabs>
              <w:contextualSpacing/>
              <w:jc w:val="both"/>
              <w:rPr>
                <w:rFonts w:ascii="Calibri" w:hAnsi="Calibri"/>
                <w:bCs/>
                <w:szCs w:val="22"/>
              </w:rPr>
            </w:pPr>
          </w:p>
        </w:tc>
      </w:tr>
      <w:tr w:rsidR="00C0704D" w:rsidRPr="00D2449B" w14:paraId="408C6380"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3040ABB" w14:textId="1EB081F5" w:rsidR="00841E43" w:rsidRPr="00951650" w:rsidRDefault="00841E43" w:rsidP="00841E43">
            <w:pPr>
              <w:rPr>
                <w:rFonts w:ascii="Calibri" w:hAnsi="Calibri"/>
                <w:szCs w:val="22"/>
              </w:rPr>
            </w:pPr>
            <w:r w:rsidRPr="00841E43">
              <w:rPr>
                <w:rFonts w:ascii="Calibri" w:hAnsi="Calibri"/>
                <w:szCs w:val="22"/>
              </w:rPr>
              <w:t xml:space="preserve">This is an application for a Certificate of Lawfulness </w:t>
            </w:r>
            <w:r w:rsidR="00AC2DC6" w:rsidRPr="00AC2DC6">
              <w:rPr>
                <w:rFonts w:ascii="Calibri" w:hAnsi="Calibri"/>
                <w:szCs w:val="22"/>
              </w:rPr>
              <w:t xml:space="preserve">for proposed internal alterations to </w:t>
            </w:r>
            <w:r w:rsidR="00AC2DC6">
              <w:rPr>
                <w:rFonts w:ascii="Calibri" w:hAnsi="Calibri"/>
                <w:szCs w:val="22"/>
              </w:rPr>
              <w:t xml:space="preserve">Castle View House to </w:t>
            </w:r>
            <w:r w:rsidR="00AC2DC6" w:rsidRPr="00AC2DC6">
              <w:rPr>
                <w:rFonts w:ascii="Calibri" w:hAnsi="Calibri"/>
                <w:szCs w:val="22"/>
              </w:rPr>
              <w:t xml:space="preserve">convert redundant first floor staff accommodation into two additional care units, </w:t>
            </w:r>
            <w:r w:rsidR="00AC2DC6">
              <w:rPr>
                <w:rFonts w:ascii="Calibri" w:hAnsi="Calibri"/>
                <w:szCs w:val="22"/>
              </w:rPr>
              <w:t xml:space="preserve">thus </w:t>
            </w:r>
            <w:r w:rsidR="00AC2DC6" w:rsidRPr="00AC2DC6">
              <w:rPr>
                <w:rFonts w:ascii="Calibri" w:hAnsi="Calibri"/>
                <w:szCs w:val="22"/>
              </w:rPr>
              <w:t xml:space="preserve">increasing the </w:t>
            </w:r>
            <w:r w:rsidR="00AC2DC6">
              <w:rPr>
                <w:rFonts w:ascii="Calibri" w:hAnsi="Calibri"/>
                <w:szCs w:val="22"/>
              </w:rPr>
              <w:t xml:space="preserve">existing </w:t>
            </w:r>
            <w:r w:rsidR="00AC2DC6" w:rsidRPr="00AC2DC6">
              <w:rPr>
                <w:rFonts w:ascii="Calibri" w:hAnsi="Calibri"/>
                <w:szCs w:val="22"/>
              </w:rPr>
              <w:t xml:space="preserve">number of residents </w:t>
            </w:r>
            <w:r w:rsidR="00AC2DC6">
              <w:rPr>
                <w:rFonts w:ascii="Calibri" w:hAnsi="Calibri"/>
                <w:szCs w:val="22"/>
              </w:rPr>
              <w:t xml:space="preserve">within the complex from 10 </w:t>
            </w:r>
            <w:r w:rsidR="00AC2DC6" w:rsidRPr="00AC2DC6">
              <w:rPr>
                <w:rFonts w:ascii="Calibri" w:hAnsi="Calibri"/>
                <w:szCs w:val="22"/>
              </w:rPr>
              <w:t>to 12.</w:t>
            </w:r>
            <w:r w:rsidR="00AC2DC6">
              <w:rPr>
                <w:rFonts w:ascii="Calibri" w:hAnsi="Calibri"/>
                <w:szCs w:val="22"/>
              </w:rPr>
              <w:t xml:space="preserve"> The application’s supporting information asserts that the proposed internal works and subsequent provision of two additional care units falls within the scope of permitted development. </w:t>
            </w:r>
            <w:r w:rsidRPr="00841E43">
              <w:rPr>
                <w:rFonts w:ascii="Calibri" w:hAnsi="Calibri"/>
                <w:bCs/>
                <w:szCs w:val="22"/>
              </w:rPr>
              <w:t xml:space="preserve">As such, the applicant seeks confirmation </w:t>
            </w:r>
            <w:r w:rsidR="0024439F">
              <w:rPr>
                <w:rFonts w:ascii="Calibri" w:hAnsi="Calibri"/>
                <w:bCs/>
                <w:szCs w:val="22"/>
              </w:rPr>
              <w:t>of the above in</w:t>
            </w:r>
            <w:r w:rsidRPr="00841E43">
              <w:rPr>
                <w:rFonts w:ascii="Calibri" w:hAnsi="Calibri"/>
                <w:bCs/>
                <w:szCs w:val="22"/>
              </w:rPr>
              <w:t xml:space="preserve"> the form of a Lawful Development Certificate to </w:t>
            </w:r>
            <w:r w:rsidR="00951650">
              <w:rPr>
                <w:rFonts w:ascii="Calibri" w:hAnsi="Calibri"/>
                <w:bCs/>
                <w:szCs w:val="22"/>
              </w:rPr>
              <w:t>establish</w:t>
            </w:r>
            <w:r w:rsidRPr="00841E43">
              <w:rPr>
                <w:rFonts w:ascii="Calibri" w:hAnsi="Calibri"/>
                <w:bCs/>
                <w:szCs w:val="22"/>
              </w:rPr>
              <w:t xml:space="preserve"> </w:t>
            </w:r>
            <w:r w:rsidR="00AC2DC6">
              <w:rPr>
                <w:rFonts w:ascii="Calibri" w:hAnsi="Calibri"/>
                <w:bCs/>
                <w:szCs w:val="22"/>
              </w:rPr>
              <w:t>these works</w:t>
            </w:r>
            <w:r w:rsidR="00951650">
              <w:rPr>
                <w:rFonts w:ascii="Calibri" w:hAnsi="Calibri"/>
                <w:bCs/>
                <w:szCs w:val="22"/>
              </w:rPr>
              <w:t xml:space="preserve"> as lawful development. </w:t>
            </w:r>
          </w:p>
          <w:p w14:paraId="1B20488F" w14:textId="26BF9170" w:rsidR="00841E43" w:rsidRPr="00D54E67" w:rsidRDefault="00841E43" w:rsidP="00841E43">
            <w:pPr>
              <w:rPr>
                <w:rFonts w:ascii="Calibri" w:hAnsi="Calibri"/>
                <w:szCs w:val="22"/>
              </w:rPr>
            </w:pPr>
          </w:p>
        </w:tc>
      </w:tr>
      <w:tr w:rsidR="00C0704D" w:rsidRPr="00D2449B" w14:paraId="617768FF"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0CF70" w14:textId="15B0B64B" w:rsidR="00174FC6" w:rsidRDefault="004227A7" w:rsidP="00174FC6">
            <w:pPr>
              <w:contextualSpacing/>
              <w:jc w:val="both"/>
              <w:rPr>
                <w:rFonts w:ascii="Calibri" w:hAnsi="Calibri"/>
                <w:b/>
                <w:bCs/>
                <w:szCs w:val="22"/>
              </w:rPr>
            </w:pPr>
            <w:r>
              <w:rPr>
                <w:rFonts w:ascii="Calibri" w:hAnsi="Calibri"/>
                <w:b/>
                <w:bCs/>
                <w:szCs w:val="22"/>
              </w:rPr>
              <w:t>Assessment of proposal:</w:t>
            </w:r>
          </w:p>
          <w:p w14:paraId="6B867897" w14:textId="77777777" w:rsidR="006D524C" w:rsidRDefault="006D524C" w:rsidP="00423088">
            <w:pPr>
              <w:pStyle w:val="Header"/>
              <w:rPr>
                <w:rFonts w:ascii="Calibri" w:hAnsi="Calibri"/>
                <w:bCs/>
                <w:szCs w:val="22"/>
              </w:rPr>
            </w:pPr>
          </w:p>
          <w:p w14:paraId="11B4BE33" w14:textId="7D5A8ABF" w:rsidR="00BF6319" w:rsidRDefault="00BF6319" w:rsidP="00BF6319">
            <w:pPr>
              <w:pStyle w:val="Header"/>
              <w:rPr>
                <w:rFonts w:ascii="Calibri" w:hAnsi="Calibri"/>
                <w:bCs/>
                <w:szCs w:val="22"/>
              </w:rPr>
            </w:pPr>
            <w:r>
              <w:rPr>
                <w:rFonts w:ascii="Calibri" w:hAnsi="Calibri"/>
                <w:bCs/>
                <w:szCs w:val="22"/>
              </w:rPr>
              <w:t xml:space="preserve">Section 192 of the </w:t>
            </w:r>
            <w:r w:rsidRPr="00BF6319">
              <w:rPr>
                <w:rFonts w:ascii="Calibri" w:hAnsi="Calibri"/>
                <w:bCs/>
                <w:szCs w:val="22"/>
              </w:rPr>
              <w:t>Town and Country Planning Act 1990</w:t>
            </w:r>
            <w:r>
              <w:rPr>
                <w:rFonts w:ascii="Calibri" w:hAnsi="Calibri"/>
                <w:bCs/>
                <w:szCs w:val="22"/>
              </w:rPr>
              <w:t xml:space="preserve"> states:</w:t>
            </w:r>
          </w:p>
          <w:p w14:paraId="11C9A5DB" w14:textId="77777777" w:rsidR="00BF6319" w:rsidRDefault="00BF6319" w:rsidP="00BF6319">
            <w:pPr>
              <w:pStyle w:val="Header"/>
              <w:rPr>
                <w:rFonts w:ascii="Calibri" w:hAnsi="Calibri"/>
                <w:bCs/>
                <w:szCs w:val="22"/>
              </w:rPr>
            </w:pPr>
          </w:p>
          <w:p w14:paraId="5C40822E" w14:textId="7AE78F69" w:rsidR="00BF6319" w:rsidRPr="00BF6319" w:rsidRDefault="00BF6319" w:rsidP="00BF6319">
            <w:pPr>
              <w:pStyle w:val="Header"/>
              <w:numPr>
                <w:ilvl w:val="0"/>
                <w:numId w:val="11"/>
              </w:numPr>
              <w:rPr>
                <w:rFonts w:ascii="Calibri" w:hAnsi="Calibri"/>
                <w:bCs/>
                <w:i/>
                <w:iCs/>
                <w:szCs w:val="22"/>
              </w:rPr>
            </w:pPr>
            <w:r w:rsidRPr="00BF6319">
              <w:rPr>
                <w:rFonts w:ascii="Calibri" w:hAnsi="Calibri"/>
                <w:bCs/>
                <w:i/>
                <w:iCs/>
                <w:szCs w:val="22"/>
              </w:rPr>
              <w:t>If any person wishes to ascertain whether—</w:t>
            </w:r>
          </w:p>
          <w:p w14:paraId="4797FE0B" w14:textId="77777777" w:rsidR="00BF6319" w:rsidRPr="00BF6319" w:rsidRDefault="00BF6319" w:rsidP="00BF6319">
            <w:pPr>
              <w:pStyle w:val="Header"/>
              <w:rPr>
                <w:rFonts w:ascii="Calibri" w:hAnsi="Calibri"/>
                <w:bCs/>
                <w:i/>
                <w:iCs/>
                <w:szCs w:val="22"/>
              </w:rPr>
            </w:pPr>
          </w:p>
          <w:p w14:paraId="31CF07D6" w14:textId="2CF9BBF2" w:rsidR="00BF6319" w:rsidRPr="00BF6319" w:rsidRDefault="00BF6319" w:rsidP="00BF6319">
            <w:pPr>
              <w:pStyle w:val="Header"/>
              <w:ind w:left="720"/>
              <w:rPr>
                <w:rFonts w:ascii="Calibri" w:hAnsi="Calibri"/>
                <w:bCs/>
                <w:i/>
                <w:iCs/>
                <w:szCs w:val="22"/>
              </w:rPr>
            </w:pPr>
            <w:r w:rsidRPr="00BF6319">
              <w:rPr>
                <w:rFonts w:ascii="Calibri" w:hAnsi="Calibri"/>
                <w:bCs/>
                <w:i/>
                <w:iCs/>
                <w:szCs w:val="22"/>
              </w:rPr>
              <w:t>(a) any proposed use of buildings or other land; or</w:t>
            </w:r>
          </w:p>
          <w:p w14:paraId="55206C13" w14:textId="77777777" w:rsidR="00B86C5A" w:rsidRDefault="00B86C5A" w:rsidP="00BF6319">
            <w:pPr>
              <w:pStyle w:val="Header"/>
              <w:ind w:left="720"/>
              <w:rPr>
                <w:rFonts w:ascii="Calibri" w:hAnsi="Calibri"/>
                <w:bCs/>
                <w:i/>
                <w:iCs/>
                <w:szCs w:val="22"/>
              </w:rPr>
            </w:pPr>
          </w:p>
          <w:p w14:paraId="6E6C7082" w14:textId="00E7BBE8" w:rsidR="00BF6319" w:rsidRPr="00BF6319" w:rsidRDefault="00BF6319" w:rsidP="00BF6319">
            <w:pPr>
              <w:pStyle w:val="Header"/>
              <w:ind w:left="720"/>
              <w:rPr>
                <w:rFonts w:ascii="Calibri" w:hAnsi="Calibri"/>
                <w:bCs/>
                <w:i/>
                <w:iCs/>
                <w:szCs w:val="22"/>
              </w:rPr>
            </w:pPr>
            <w:r w:rsidRPr="00BF6319">
              <w:rPr>
                <w:rFonts w:ascii="Calibri" w:hAnsi="Calibri"/>
                <w:bCs/>
                <w:i/>
                <w:iCs/>
                <w:szCs w:val="22"/>
              </w:rPr>
              <w:t>(b) any operations proposed to be carried out in, on, over or under land,</w:t>
            </w:r>
          </w:p>
          <w:p w14:paraId="51252E47" w14:textId="77777777" w:rsidR="00BF6319" w:rsidRPr="00BF6319" w:rsidRDefault="00BF6319" w:rsidP="00BF6319">
            <w:pPr>
              <w:pStyle w:val="Header"/>
              <w:ind w:left="720"/>
              <w:rPr>
                <w:rFonts w:ascii="Calibri" w:hAnsi="Calibri"/>
                <w:bCs/>
                <w:i/>
                <w:iCs/>
                <w:szCs w:val="22"/>
              </w:rPr>
            </w:pPr>
            <w:r w:rsidRPr="00BF6319">
              <w:rPr>
                <w:rFonts w:ascii="Calibri" w:hAnsi="Calibri"/>
                <w:bCs/>
                <w:i/>
                <w:iCs/>
                <w:szCs w:val="22"/>
              </w:rPr>
              <w:t>would be lawful, he may make an application for the purpose to the local planning authority specifying the land and describing the use or operations in question.</w:t>
            </w:r>
          </w:p>
          <w:p w14:paraId="1C9CBADA" w14:textId="77777777" w:rsidR="00BF6319" w:rsidRPr="00BF6319" w:rsidRDefault="00BF6319" w:rsidP="00BF6319">
            <w:pPr>
              <w:pStyle w:val="Header"/>
              <w:rPr>
                <w:rFonts w:ascii="Calibri" w:hAnsi="Calibri"/>
                <w:bCs/>
                <w:i/>
                <w:iCs/>
                <w:szCs w:val="22"/>
              </w:rPr>
            </w:pPr>
          </w:p>
          <w:p w14:paraId="1A6D27CC" w14:textId="677ACF7F" w:rsidR="00BF6319" w:rsidRPr="00BF6319" w:rsidRDefault="00BF6319" w:rsidP="00BF6319">
            <w:pPr>
              <w:pStyle w:val="Header"/>
              <w:numPr>
                <w:ilvl w:val="0"/>
                <w:numId w:val="11"/>
              </w:numPr>
              <w:rPr>
                <w:rFonts w:ascii="Calibri" w:hAnsi="Calibri"/>
                <w:bCs/>
                <w:i/>
                <w:iCs/>
                <w:szCs w:val="22"/>
              </w:rPr>
            </w:pPr>
            <w:r w:rsidRPr="00BF6319">
              <w:rPr>
                <w:rFonts w:ascii="Calibri" w:hAnsi="Calibri"/>
                <w:bCs/>
                <w:i/>
                <w:iCs/>
                <w:szCs w:val="22"/>
              </w:rPr>
              <w:t>If, on an application under this section, the local planning authority are provided with information satisfying them that the use or operations described in the application would be lawful if instituted or begun at the time of the application, they shall issue a certificate to that effect; and in any other case they shall refuse the application.</w:t>
            </w:r>
          </w:p>
          <w:p w14:paraId="539A25C7" w14:textId="77777777" w:rsidR="00401D77" w:rsidRDefault="00401D77" w:rsidP="00AF633A">
            <w:pPr>
              <w:pStyle w:val="Header"/>
              <w:rPr>
                <w:rFonts w:ascii="Calibri" w:hAnsi="Calibri"/>
                <w:bCs/>
                <w:szCs w:val="22"/>
              </w:rPr>
            </w:pPr>
          </w:p>
          <w:p w14:paraId="5EC56B8B" w14:textId="12B1DB0B" w:rsidR="00B86C5A" w:rsidRPr="00B86C5A" w:rsidRDefault="00B86C5A" w:rsidP="00B86C5A">
            <w:pPr>
              <w:pStyle w:val="Header"/>
              <w:rPr>
                <w:rFonts w:ascii="Calibri" w:hAnsi="Calibri"/>
                <w:bCs/>
                <w:szCs w:val="22"/>
              </w:rPr>
            </w:pPr>
            <w:r w:rsidRPr="00B86C5A">
              <w:rPr>
                <w:rFonts w:ascii="Calibri" w:hAnsi="Calibri"/>
                <w:bCs/>
                <w:szCs w:val="22"/>
              </w:rPr>
              <w:t xml:space="preserve">In this instance the applicant seeks to establish the lawfulness of proposed internal alterations to </w:t>
            </w:r>
            <w:r>
              <w:rPr>
                <w:rFonts w:ascii="Calibri" w:hAnsi="Calibri"/>
                <w:bCs/>
                <w:szCs w:val="22"/>
              </w:rPr>
              <w:t>the application property</w:t>
            </w:r>
            <w:r w:rsidRPr="00B86C5A">
              <w:rPr>
                <w:rFonts w:ascii="Calibri" w:hAnsi="Calibri"/>
                <w:bCs/>
                <w:szCs w:val="22"/>
              </w:rPr>
              <w:t xml:space="preserve"> to convert redundant first floor staff accommodation into two additional care units</w:t>
            </w:r>
            <w:r>
              <w:rPr>
                <w:rFonts w:ascii="Calibri" w:hAnsi="Calibri"/>
                <w:bCs/>
                <w:szCs w:val="22"/>
              </w:rPr>
              <w:t xml:space="preserve">. </w:t>
            </w:r>
            <w:r w:rsidRPr="00B86C5A">
              <w:rPr>
                <w:rFonts w:ascii="Calibri" w:hAnsi="Calibri"/>
                <w:bCs/>
                <w:szCs w:val="22"/>
              </w:rPr>
              <w:t>The statutory framework covering “lawfulness” for lawful development certificates is set out in section 191(2) of the Act. In summary, lawful development is development against which no enforcement action may be taken and where no enforcement notice is in force, or, for which planning permission is not required.</w:t>
            </w:r>
          </w:p>
          <w:p w14:paraId="5111458D" w14:textId="77777777" w:rsidR="00B86C5A" w:rsidRDefault="00B86C5A" w:rsidP="00AC2DC6">
            <w:pPr>
              <w:pStyle w:val="Header"/>
              <w:rPr>
                <w:rFonts w:ascii="Calibri" w:hAnsi="Calibri"/>
                <w:bCs/>
                <w:szCs w:val="22"/>
              </w:rPr>
            </w:pPr>
          </w:p>
          <w:p w14:paraId="074DC8A5" w14:textId="77777777" w:rsidR="00B86C5A" w:rsidRPr="00B86C5A" w:rsidRDefault="00B86C5A" w:rsidP="00B86C5A">
            <w:pPr>
              <w:pStyle w:val="Header"/>
              <w:rPr>
                <w:rFonts w:ascii="Calibri" w:hAnsi="Calibri"/>
                <w:bCs/>
                <w:szCs w:val="22"/>
              </w:rPr>
            </w:pPr>
            <w:r w:rsidRPr="00B86C5A">
              <w:rPr>
                <w:rFonts w:ascii="Calibri" w:hAnsi="Calibri"/>
                <w:bCs/>
                <w:szCs w:val="22"/>
              </w:rPr>
              <w:t>Section 57 of the Town and Country Planning Act 1990 directs that all operations or work falling within the statutory definition of ‘development’ require planning permission. The categories of work that do not amount to ‘development’ are set out in section 55(2) of the Town and Country Planning Act 1990. These include, but are not limited to the following:</w:t>
            </w:r>
          </w:p>
          <w:p w14:paraId="4E170F59" w14:textId="77777777" w:rsidR="00B86C5A" w:rsidRPr="00B86C5A" w:rsidRDefault="00B86C5A" w:rsidP="00B86C5A">
            <w:pPr>
              <w:pStyle w:val="Header"/>
              <w:rPr>
                <w:rFonts w:ascii="Calibri" w:hAnsi="Calibri"/>
                <w:bCs/>
                <w:szCs w:val="22"/>
              </w:rPr>
            </w:pPr>
          </w:p>
          <w:p w14:paraId="65B4A604" w14:textId="77777777" w:rsidR="00B86C5A" w:rsidRPr="00B86C5A" w:rsidRDefault="00B86C5A" w:rsidP="00B86C5A">
            <w:pPr>
              <w:pStyle w:val="Header"/>
              <w:numPr>
                <w:ilvl w:val="0"/>
                <w:numId w:val="12"/>
              </w:numPr>
              <w:rPr>
                <w:rFonts w:ascii="Calibri" w:hAnsi="Calibri"/>
                <w:bCs/>
                <w:szCs w:val="22"/>
              </w:rPr>
            </w:pPr>
            <w:r w:rsidRPr="00B86C5A">
              <w:rPr>
                <w:rFonts w:ascii="Calibri" w:hAnsi="Calibri"/>
                <w:bCs/>
                <w:szCs w:val="22"/>
              </w:rPr>
              <w:t>interior alterations (except mezzanine floors which increase the floorspace of retail premises by more than 200 square metres)</w:t>
            </w:r>
          </w:p>
          <w:p w14:paraId="5E51DBBE" w14:textId="77777777" w:rsidR="00B86C5A" w:rsidRPr="00B86C5A" w:rsidRDefault="00B86C5A" w:rsidP="00B86C5A">
            <w:pPr>
              <w:pStyle w:val="Header"/>
              <w:rPr>
                <w:rFonts w:ascii="Calibri" w:hAnsi="Calibri"/>
                <w:bCs/>
                <w:szCs w:val="22"/>
              </w:rPr>
            </w:pPr>
          </w:p>
          <w:p w14:paraId="0567DE45" w14:textId="77777777" w:rsidR="00B86C5A" w:rsidRPr="00B86C5A" w:rsidRDefault="00B86C5A" w:rsidP="00B86C5A">
            <w:pPr>
              <w:pStyle w:val="Header"/>
              <w:numPr>
                <w:ilvl w:val="0"/>
                <w:numId w:val="12"/>
              </w:numPr>
              <w:rPr>
                <w:rFonts w:ascii="Calibri" w:hAnsi="Calibri"/>
                <w:bCs/>
                <w:szCs w:val="22"/>
              </w:rPr>
            </w:pPr>
            <w:r w:rsidRPr="00B86C5A">
              <w:rPr>
                <w:rFonts w:ascii="Calibri" w:hAnsi="Calibri"/>
                <w:bCs/>
                <w:szCs w:val="22"/>
              </w:rPr>
              <w:t>building operations which do not materially affect the external appearance of a building. The term ‘materially affect’ has no statutory definition, but is linked to the significance of the change which is made to a building’s external appearance</w:t>
            </w:r>
          </w:p>
          <w:p w14:paraId="7CC6B329" w14:textId="77777777" w:rsidR="00B86C5A" w:rsidRPr="00B86C5A" w:rsidRDefault="00B86C5A" w:rsidP="00B86C5A">
            <w:pPr>
              <w:pStyle w:val="Header"/>
              <w:rPr>
                <w:rFonts w:ascii="Calibri" w:hAnsi="Calibri"/>
                <w:bCs/>
                <w:szCs w:val="22"/>
              </w:rPr>
            </w:pPr>
          </w:p>
          <w:p w14:paraId="6DD431A4" w14:textId="77777777" w:rsidR="00B86C5A" w:rsidRPr="00B86C5A" w:rsidRDefault="00B86C5A" w:rsidP="00B86C5A">
            <w:pPr>
              <w:pStyle w:val="Header"/>
              <w:numPr>
                <w:ilvl w:val="0"/>
                <w:numId w:val="12"/>
              </w:numPr>
              <w:rPr>
                <w:rFonts w:ascii="Calibri" w:hAnsi="Calibri"/>
                <w:bCs/>
                <w:szCs w:val="22"/>
              </w:rPr>
            </w:pPr>
            <w:r w:rsidRPr="00B86C5A">
              <w:rPr>
                <w:rFonts w:ascii="Calibri" w:hAnsi="Calibri"/>
                <w:bCs/>
                <w:szCs w:val="22"/>
              </w:rPr>
              <w:lastRenderedPageBreak/>
              <w:t>a change in the primary use of land or buildings, where the before and after use falls within the same use class.</w:t>
            </w:r>
          </w:p>
          <w:p w14:paraId="6326B39D" w14:textId="77777777" w:rsidR="00B86C5A" w:rsidRDefault="00B86C5A" w:rsidP="00AC2DC6">
            <w:pPr>
              <w:pStyle w:val="Header"/>
              <w:rPr>
                <w:rFonts w:ascii="Calibri" w:hAnsi="Calibri"/>
                <w:bCs/>
                <w:szCs w:val="22"/>
              </w:rPr>
            </w:pPr>
          </w:p>
          <w:p w14:paraId="7075B98B" w14:textId="0E4DEA01" w:rsidR="00E2267E" w:rsidRDefault="00B86C5A" w:rsidP="00140683">
            <w:pPr>
              <w:pStyle w:val="Header"/>
              <w:rPr>
                <w:rFonts w:ascii="Calibri" w:hAnsi="Calibri"/>
                <w:bCs/>
                <w:szCs w:val="22"/>
              </w:rPr>
            </w:pPr>
            <w:r>
              <w:rPr>
                <w:rFonts w:ascii="Calibri" w:hAnsi="Calibri"/>
                <w:bCs/>
                <w:szCs w:val="22"/>
              </w:rPr>
              <w:t xml:space="preserve">In this instance, </w:t>
            </w:r>
            <w:r w:rsidR="00E446E4">
              <w:rPr>
                <w:rFonts w:ascii="Calibri" w:hAnsi="Calibri"/>
                <w:bCs/>
                <w:szCs w:val="22"/>
              </w:rPr>
              <w:t xml:space="preserve">no external works or alterations are proposed to the application property, with </w:t>
            </w:r>
            <w:r>
              <w:rPr>
                <w:rFonts w:ascii="Calibri" w:hAnsi="Calibri"/>
                <w:bCs/>
                <w:szCs w:val="22"/>
              </w:rPr>
              <w:t xml:space="preserve">the works proposed under this application </w:t>
            </w:r>
            <w:r w:rsidR="00E446E4">
              <w:rPr>
                <w:rFonts w:ascii="Calibri" w:hAnsi="Calibri"/>
                <w:bCs/>
                <w:szCs w:val="22"/>
              </w:rPr>
              <w:t>being</w:t>
            </w:r>
            <w:r>
              <w:rPr>
                <w:rFonts w:ascii="Calibri" w:hAnsi="Calibri"/>
                <w:bCs/>
                <w:szCs w:val="22"/>
              </w:rPr>
              <w:t xml:space="preserve"> solely limited to internal alterations</w:t>
            </w:r>
            <w:r w:rsidR="00E446E4">
              <w:rPr>
                <w:rFonts w:ascii="Calibri" w:hAnsi="Calibri"/>
                <w:bCs/>
                <w:szCs w:val="22"/>
              </w:rPr>
              <w:t xml:space="preserve">. Furthermore, no change </w:t>
            </w:r>
            <w:r w:rsidR="00841ED9">
              <w:rPr>
                <w:rFonts w:ascii="Calibri" w:hAnsi="Calibri"/>
                <w:bCs/>
                <w:szCs w:val="22"/>
              </w:rPr>
              <w:t xml:space="preserve">of use </w:t>
            </w:r>
            <w:r w:rsidR="00E446E4">
              <w:rPr>
                <w:rFonts w:ascii="Calibri" w:hAnsi="Calibri"/>
                <w:bCs/>
                <w:szCs w:val="22"/>
              </w:rPr>
              <w:t xml:space="preserve">is proposed to </w:t>
            </w:r>
            <w:r>
              <w:rPr>
                <w:rFonts w:ascii="Calibri" w:hAnsi="Calibri"/>
                <w:bCs/>
                <w:szCs w:val="22"/>
              </w:rPr>
              <w:t xml:space="preserve">the </w:t>
            </w:r>
            <w:r w:rsidR="00841ED9">
              <w:rPr>
                <w:rFonts w:ascii="Calibri" w:hAnsi="Calibri"/>
                <w:bCs/>
                <w:szCs w:val="22"/>
              </w:rPr>
              <w:t xml:space="preserve">property’s </w:t>
            </w:r>
            <w:r>
              <w:rPr>
                <w:rFonts w:ascii="Calibri" w:hAnsi="Calibri"/>
                <w:bCs/>
                <w:szCs w:val="22"/>
              </w:rPr>
              <w:t xml:space="preserve">existing C2 use </w:t>
            </w:r>
            <w:r w:rsidR="00E446E4">
              <w:rPr>
                <w:rFonts w:ascii="Calibri" w:hAnsi="Calibri"/>
                <w:bCs/>
                <w:szCs w:val="22"/>
              </w:rPr>
              <w:t xml:space="preserve">class. </w:t>
            </w:r>
            <w:r w:rsidR="00BF6435">
              <w:rPr>
                <w:rFonts w:ascii="Calibri" w:hAnsi="Calibri"/>
                <w:bCs/>
                <w:szCs w:val="22"/>
              </w:rPr>
              <w:t xml:space="preserve">It is acknowledged that the proposed internal alterations would facilitate the creation of two additional care units </w:t>
            </w:r>
            <w:r w:rsidR="00BF6435" w:rsidRPr="00BF6435">
              <w:rPr>
                <w:rFonts w:ascii="Calibri" w:hAnsi="Calibri"/>
                <w:bCs/>
                <w:szCs w:val="22"/>
              </w:rPr>
              <w:t>thus increasing the existing number of residents within the complex from 10 to 12</w:t>
            </w:r>
            <w:r w:rsidR="00BF6435">
              <w:rPr>
                <w:rFonts w:ascii="Calibri" w:hAnsi="Calibri"/>
                <w:bCs/>
                <w:szCs w:val="22"/>
              </w:rPr>
              <w:t xml:space="preserve"> therefore a </w:t>
            </w:r>
            <w:r w:rsidR="00BF6435" w:rsidRPr="00BF6435">
              <w:rPr>
                <w:rFonts w:ascii="Calibri" w:hAnsi="Calibri"/>
                <w:bCs/>
                <w:szCs w:val="22"/>
              </w:rPr>
              <w:t>judgement has to be made as to whether this increase would amount to a material change in the use of the application property in terms of intensification of the building’s existing C2 use</w:t>
            </w:r>
            <w:r w:rsidR="00BF6435">
              <w:rPr>
                <w:rFonts w:ascii="Calibri" w:hAnsi="Calibri"/>
                <w:bCs/>
                <w:szCs w:val="22"/>
              </w:rPr>
              <w:t>. In this instance it is not considered that the introduction of two additional residents to the complex would amount to a material change in the existing use of the property with respect to noise, vehicular traffic and comings and goings. In light of the above</w:t>
            </w:r>
            <w:r w:rsidRPr="00B86C5A">
              <w:rPr>
                <w:rFonts w:ascii="Calibri" w:hAnsi="Calibri"/>
                <w:bCs/>
                <w:szCs w:val="22"/>
              </w:rPr>
              <w:t>, the works proposed would meet the definition of works not considered to be development under the provisions of section 55(2) of the Act</w:t>
            </w:r>
            <w:r w:rsidR="00BF6435">
              <w:rPr>
                <w:rFonts w:ascii="Calibri" w:hAnsi="Calibri"/>
                <w:bCs/>
                <w:szCs w:val="22"/>
              </w:rPr>
              <w:t xml:space="preserve"> </w:t>
            </w:r>
            <w:r w:rsidR="00BF6435" w:rsidRPr="00E446E4">
              <w:rPr>
                <w:rFonts w:ascii="Calibri" w:hAnsi="Calibri"/>
                <w:szCs w:val="22"/>
              </w:rPr>
              <w:t>and as such are considered to be lawful</w:t>
            </w:r>
            <w:r w:rsidR="00BF6435">
              <w:rPr>
                <w:rFonts w:ascii="Calibri" w:hAnsi="Calibri"/>
                <w:szCs w:val="22"/>
              </w:rPr>
              <w:t>.</w:t>
            </w:r>
          </w:p>
          <w:p w14:paraId="0DB485A3" w14:textId="5FA95956" w:rsidR="00942CD8" w:rsidRPr="00E05A51" w:rsidRDefault="00942CD8" w:rsidP="00140683">
            <w:pPr>
              <w:pStyle w:val="Header"/>
              <w:rPr>
                <w:rFonts w:ascii="Calibri" w:hAnsi="Calibri"/>
                <w:bCs/>
                <w:szCs w:val="22"/>
              </w:rPr>
            </w:pPr>
          </w:p>
        </w:tc>
      </w:tr>
      <w:tr w:rsidR="004227A7" w:rsidRPr="00D2449B" w14:paraId="2D544425"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470F26" w14:textId="77777777" w:rsidR="004227A7" w:rsidRDefault="004227A7" w:rsidP="004227A7">
            <w:pPr>
              <w:contextualSpacing/>
              <w:jc w:val="both"/>
              <w:rPr>
                <w:rFonts w:ascii="Calibri" w:hAnsi="Calibri"/>
                <w:b/>
                <w:bCs/>
                <w:szCs w:val="22"/>
              </w:rPr>
            </w:pPr>
            <w:r w:rsidRPr="004227A7">
              <w:rPr>
                <w:rFonts w:ascii="Calibri" w:hAnsi="Calibri"/>
                <w:b/>
                <w:bCs/>
                <w:szCs w:val="22"/>
              </w:rPr>
              <w:lastRenderedPageBreak/>
              <w:t>Observations/Consideration of Matters Raised/Conclusion:</w:t>
            </w:r>
          </w:p>
          <w:p w14:paraId="7EEBE24B" w14:textId="77777777" w:rsidR="008910F6" w:rsidRDefault="008910F6" w:rsidP="004227A7">
            <w:pPr>
              <w:contextualSpacing/>
              <w:jc w:val="both"/>
              <w:rPr>
                <w:rFonts w:ascii="Calibri" w:hAnsi="Calibri"/>
                <w:bCs/>
                <w:szCs w:val="22"/>
              </w:rPr>
            </w:pPr>
          </w:p>
          <w:p w14:paraId="1850946D" w14:textId="3AE75968" w:rsidR="00E446E4" w:rsidRPr="00E446E4" w:rsidRDefault="00E446E4" w:rsidP="00E446E4">
            <w:pPr>
              <w:pStyle w:val="Header"/>
              <w:rPr>
                <w:rFonts w:ascii="Calibri" w:hAnsi="Calibri"/>
                <w:szCs w:val="22"/>
              </w:rPr>
            </w:pPr>
            <w:r w:rsidRPr="00E446E4">
              <w:rPr>
                <w:rFonts w:ascii="Calibri" w:hAnsi="Calibri"/>
                <w:szCs w:val="22"/>
              </w:rPr>
              <w:t xml:space="preserve">The internal works proposed </w:t>
            </w:r>
            <w:r w:rsidR="00B92CC1">
              <w:rPr>
                <w:rFonts w:ascii="Calibri" w:hAnsi="Calibri"/>
                <w:szCs w:val="22"/>
              </w:rPr>
              <w:t>to the application property</w:t>
            </w:r>
            <w:r w:rsidRPr="00E446E4">
              <w:rPr>
                <w:rFonts w:ascii="Calibri" w:hAnsi="Calibri"/>
                <w:szCs w:val="22"/>
              </w:rPr>
              <w:t xml:space="preserve"> would meet the definition of works not considered to be development under the provisions of section 55(2) of the </w:t>
            </w:r>
            <w:r w:rsidRPr="00E446E4">
              <w:rPr>
                <w:rFonts w:ascii="Calibri" w:hAnsi="Calibri"/>
                <w:bCs/>
                <w:szCs w:val="22"/>
              </w:rPr>
              <w:t>Town and Country Planning Act 1990</w:t>
            </w:r>
            <w:r w:rsidRPr="00E446E4">
              <w:rPr>
                <w:rFonts w:ascii="Calibri" w:hAnsi="Calibri"/>
                <w:szCs w:val="22"/>
              </w:rPr>
              <w:t xml:space="preserve"> and as such are considered to be lawful on the basis that planning permission would not be required for their implementation. </w:t>
            </w:r>
          </w:p>
          <w:p w14:paraId="1FA8E48A" w14:textId="77777777" w:rsidR="00140683" w:rsidRDefault="00140683" w:rsidP="00140683">
            <w:pPr>
              <w:pStyle w:val="Header"/>
              <w:rPr>
                <w:rFonts w:ascii="Calibri" w:hAnsi="Calibri"/>
                <w:b/>
                <w:bCs/>
                <w:szCs w:val="22"/>
              </w:rPr>
            </w:pPr>
          </w:p>
        </w:tc>
      </w:tr>
      <w:tr w:rsidR="00C0704D" w:rsidRPr="00D2449B" w14:paraId="507FC89B" w14:textId="77777777" w:rsidTr="00D7793B">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25FE53F" w:rsidR="00C0704D" w:rsidRPr="00D2449B" w:rsidRDefault="00E446E4" w:rsidP="00CD2CEF">
            <w:pPr>
              <w:rPr>
                <w:rFonts w:ascii="Calibri" w:hAnsi="Calibri"/>
                <w:bCs/>
                <w:szCs w:val="22"/>
              </w:rPr>
            </w:pPr>
            <w:r w:rsidRPr="00E446E4">
              <w:rPr>
                <w:rFonts w:ascii="Calibri" w:hAnsi="Calibri"/>
                <w:bCs/>
                <w:szCs w:val="22"/>
              </w:rPr>
              <w:t>To approve the application for a Certificate of Lawfulness.</w:t>
            </w:r>
          </w:p>
        </w:tc>
      </w:tr>
    </w:tbl>
    <w:p w14:paraId="513FB541" w14:textId="77777777" w:rsidR="0002304A" w:rsidRPr="00D2449B" w:rsidRDefault="0002304A">
      <w:pPr>
        <w:rPr>
          <w:rFonts w:ascii="Calibri" w:hAnsi="Calibri"/>
          <w:szCs w:val="22"/>
        </w:rPr>
      </w:pPr>
    </w:p>
    <w:sectPr w:rsidR="0002304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7A87"/>
    <w:multiLevelType w:val="hybridMultilevel"/>
    <w:tmpl w:val="CF84A952"/>
    <w:lvl w:ilvl="0" w:tplc="00A655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64D4A"/>
    <w:multiLevelType w:val="hybridMultilevel"/>
    <w:tmpl w:val="54C8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55FB0"/>
    <w:multiLevelType w:val="hybridMultilevel"/>
    <w:tmpl w:val="90AE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77710"/>
    <w:multiLevelType w:val="hybridMultilevel"/>
    <w:tmpl w:val="5864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13581"/>
    <w:multiLevelType w:val="hybridMultilevel"/>
    <w:tmpl w:val="8EFA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27121"/>
    <w:multiLevelType w:val="hybridMultilevel"/>
    <w:tmpl w:val="678E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863CF"/>
    <w:multiLevelType w:val="hybridMultilevel"/>
    <w:tmpl w:val="969A05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46C416A8"/>
    <w:multiLevelType w:val="hybridMultilevel"/>
    <w:tmpl w:val="D152C688"/>
    <w:lvl w:ilvl="0" w:tplc="05ECAC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7E0E69"/>
    <w:multiLevelType w:val="hybridMultilevel"/>
    <w:tmpl w:val="1398F65E"/>
    <w:lvl w:ilvl="0" w:tplc="CB4473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1C9376F"/>
    <w:multiLevelType w:val="hybridMultilevel"/>
    <w:tmpl w:val="BB50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0D6824"/>
    <w:multiLevelType w:val="hybridMultilevel"/>
    <w:tmpl w:val="1A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0"/>
  </w:num>
  <w:num w:numId="2" w16cid:durableId="633176010">
    <w:abstractNumId w:val="5"/>
  </w:num>
  <w:num w:numId="3" w16cid:durableId="1330208351">
    <w:abstractNumId w:val="9"/>
  </w:num>
  <w:num w:numId="4" w16cid:durableId="1855730261">
    <w:abstractNumId w:val="1"/>
  </w:num>
  <w:num w:numId="5" w16cid:durableId="1717967737">
    <w:abstractNumId w:val="7"/>
  </w:num>
  <w:num w:numId="6" w16cid:durableId="624508807">
    <w:abstractNumId w:val="8"/>
  </w:num>
  <w:num w:numId="7" w16cid:durableId="1686175993">
    <w:abstractNumId w:val="11"/>
  </w:num>
  <w:num w:numId="8" w16cid:durableId="78602811">
    <w:abstractNumId w:val="6"/>
  </w:num>
  <w:num w:numId="9" w16cid:durableId="457527092">
    <w:abstractNumId w:val="4"/>
  </w:num>
  <w:num w:numId="10" w16cid:durableId="829903444">
    <w:abstractNumId w:val="3"/>
  </w:num>
  <w:num w:numId="11" w16cid:durableId="1515412469">
    <w:abstractNumId w:val="0"/>
  </w:num>
  <w:num w:numId="12" w16cid:durableId="1690449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69F"/>
    <w:rsid w:val="00016005"/>
    <w:rsid w:val="0002273F"/>
    <w:rsid w:val="0002304A"/>
    <w:rsid w:val="000351C2"/>
    <w:rsid w:val="0005091E"/>
    <w:rsid w:val="000604EE"/>
    <w:rsid w:val="000758A4"/>
    <w:rsid w:val="00080BDF"/>
    <w:rsid w:val="000A57F3"/>
    <w:rsid w:val="000B3953"/>
    <w:rsid w:val="000B5CB5"/>
    <w:rsid w:val="000C1A6C"/>
    <w:rsid w:val="000F2F98"/>
    <w:rsid w:val="000F346C"/>
    <w:rsid w:val="0010195B"/>
    <w:rsid w:val="00101F50"/>
    <w:rsid w:val="00105930"/>
    <w:rsid w:val="001238E5"/>
    <w:rsid w:val="00130035"/>
    <w:rsid w:val="00134FBA"/>
    <w:rsid w:val="001350A0"/>
    <w:rsid w:val="00140683"/>
    <w:rsid w:val="001512F0"/>
    <w:rsid w:val="00151FE2"/>
    <w:rsid w:val="00153BF7"/>
    <w:rsid w:val="0015513B"/>
    <w:rsid w:val="00174FC6"/>
    <w:rsid w:val="00187146"/>
    <w:rsid w:val="0019211F"/>
    <w:rsid w:val="001A1EE3"/>
    <w:rsid w:val="001A3585"/>
    <w:rsid w:val="001B11F1"/>
    <w:rsid w:val="001C4E32"/>
    <w:rsid w:val="001D072A"/>
    <w:rsid w:val="001D4F7A"/>
    <w:rsid w:val="001E634E"/>
    <w:rsid w:val="001E7034"/>
    <w:rsid w:val="001E70DB"/>
    <w:rsid w:val="001F1BF5"/>
    <w:rsid w:val="0020078E"/>
    <w:rsid w:val="002109BA"/>
    <w:rsid w:val="00213A08"/>
    <w:rsid w:val="00215D88"/>
    <w:rsid w:val="002164C6"/>
    <w:rsid w:val="0022092D"/>
    <w:rsid w:val="00230DEC"/>
    <w:rsid w:val="0024439F"/>
    <w:rsid w:val="00245E49"/>
    <w:rsid w:val="00250879"/>
    <w:rsid w:val="00262015"/>
    <w:rsid w:val="00283DAC"/>
    <w:rsid w:val="00285124"/>
    <w:rsid w:val="0029334A"/>
    <w:rsid w:val="002969F4"/>
    <w:rsid w:val="002A01CF"/>
    <w:rsid w:val="002A2129"/>
    <w:rsid w:val="002B0491"/>
    <w:rsid w:val="002B3622"/>
    <w:rsid w:val="002C6277"/>
    <w:rsid w:val="002E3882"/>
    <w:rsid w:val="002F1F6D"/>
    <w:rsid w:val="002F2580"/>
    <w:rsid w:val="002F532B"/>
    <w:rsid w:val="0030336C"/>
    <w:rsid w:val="00305874"/>
    <w:rsid w:val="00321B6E"/>
    <w:rsid w:val="00322228"/>
    <w:rsid w:val="00332D3C"/>
    <w:rsid w:val="003375D3"/>
    <w:rsid w:val="00341172"/>
    <w:rsid w:val="0034162D"/>
    <w:rsid w:val="003424A6"/>
    <w:rsid w:val="003435B8"/>
    <w:rsid w:val="0035044F"/>
    <w:rsid w:val="00352EC0"/>
    <w:rsid w:val="00354A0F"/>
    <w:rsid w:val="0036309D"/>
    <w:rsid w:val="003709AA"/>
    <w:rsid w:val="00374A46"/>
    <w:rsid w:val="00384403"/>
    <w:rsid w:val="003902AE"/>
    <w:rsid w:val="00394AAD"/>
    <w:rsid w:val="003A6175"/>
    <w:rsid w:val="003B08DE"/>
    <w:rsid w:val="003B459A"/>
    <w:rsid w:val="003B63E9"/>
    <w:rsid w:val="003B6A21"/>
    <w:rsid w:val="003D158A"/>
    <w:rsid w:val="003D2BBC"/>
    <w:rsid w:val="003D744B"/>
    <w:rsid w:val="003E0826"/>
    <w:rsid w:val="003E0A86"/>
    <w:rsid w:val="003E6B13"/>
    <w:rsid w:val="003E738E"/>
    <w:rsid w:val="003F7044"/>
    <w:rsid w:val="00401D77"/>
    <w:rsid w:val="00402270"/>
    <w:rsid w:val="00406025"/>
    <w:rsid w:val="00412221"/>
    <w:rsid w:val="00414C7D"/>
    <w:rsid w:val="00415C19"/>
    <w:rsid w:val="004227A7"/>
    <w:rsid w:val="00423088"/>
    <w:rsid w:val="00440CB6"/>
    <w:rsid w:val="00441A78"/>
    <w:rsid w:val="00442819"/>
    <w:rsid w:val="004538D7"/>
    <w:rsid w:val="0046125E"/>
    <w:rsid w:val="0046213D"/>
    <w:rsid w:val="004644FA"/>
    <w:rsid w:val="0046548C"/>
    <w:rsid w:val="00472BEA"/>
    <w:rsid w:val="0048043E"/>
    <w:rsid w:val="0048424C"/>
    <w:rsid w:val="004947BB"/>
    <w:rsid w:val="004974CD"/>
    <w:rsid w:val="004A5EA9"/>
    <w:rsid w:val="004B432E"/>
    <w:rsid w:val="004C2434"/>
    <w:rsid w:val="004C2AD3"/>
    <w:rsid w:val="004C2CA9"/>
    <w:rsid w:val="004C7D6E"/>
    <w:rsid w:val="004F0649"/>
    <w:rsid w:val="004F48B7"/>
    <w:rsid w:val="004F5CAB"/>
    <w:rsid w:val="005017E6"/>
    <w:rsid w:val="00503194"/>
    <w:rsid w:val="00510FA2"/>
    <w:rsid w:val="005141A2"/>
    <w:rsid w:val="005148AF"/>
    <w:rsid w:val="005148E9"/>
    <w:rsid w:val="00522E14"/>
    <w:rsid w:val="005269E6"/>
    <w:rsid w:val="00527882"/>
    <w:rsid w:val="00530BF9"/>
    <w:rsid w:val="00540514"/>
    <w:rsid w:val="00545A3D"/>
    <w:rsid w:val="005464DC"/>
    <w:rsid w:val="0055014A"/>
    <w:rsid w:val="005536F3"/>
    <w:rsid w:val="00553D35"/>
    <w:rsid w:val="0055645B"/>
    <w:rsid w:val="00556ECD"/>
    <w:rsid w:val="00562F16"/>
    <w:rsid w:val="005673BE"/>
    <w:rsid w:val="00590F60"/>
    <w:rsid w:val="00591C39"/>
    <w:rsid w:val="00593603"/>
    <w:rsid w:val="005A15A5"/>
    <w:rsid w:val="005A25C4"/>
    <w:rsid w:val="005A426B"/>
    <w:rsid w:val="005B1843"/>
    <w:rsid w:val="005B29D7"/>
    <w:rsid w:val="005B4D68"/>
    <w:rsid w:val="005C0AAC"/>
    <w:rsid w:val="005C4AC7"/>
    <w:rsid w:val="005D1C53"/>
    <w:rsid w:val="005D2286"/>
    <w:rsid w:val="005D6526"/>
    <w:rsid w:val="005E1C6C"/>
    <w:rsid w:val="005E65DF"/>
    <w:rsid w:val="005E67DA"/>
    <w:rsid w:val="005F3D8B"/>
    <w:rsid w:val="00614A2C"/>
    <w:rsid w:val="00615F18"/>
    <w:rsid w:val="00620FE4"/>
    <w:rsid w:val="00626B75"/>
    <w:rsid w:val="00630E25"/>
    <w:rsid w:val="00632F2C"/>
    <w:rsid w:val="006339A4"/>
    <w:rsid w:val="0064125E"/>
    <w:rsid w:val="00660899"/>
    <w:rsid w:val="00662E84"/>
    <w:rsid w:val="006703EB"/>
    <w:rsid w:val="00673B0A"/>
    <w:rsid w:val="0067455C"/>
    <w:rsid w:val="006767EB"/>
    <w:rsid w:val="006774C4"/>
    <w:rsid w:val="00681E01"/>
    <w:rsid w:val="00686398"/>
    <w:rsid w:val="00692B60"/>
    <w:rsid w:val="00692EC0"/>
    <w:rsid w:val="00692EDA"/>
    <w:rsid w:val="00693C80"/>
    <w:rsid w:val="00694447"/>
    <w:rsid w:val="00696A3B"/>
    <w:rsid w:val="006A155D"/>
    <w:rsid w:val="006A2818"/>
    <w:rsid w:val="006A3A22"/>
    <w:rsid w:val="006A4DBE"/>
    <w:rsid w:val="006A71AD"/>
    <w:rsid w:val="006B10AF"/>
    <w:rsid w:val="006B1428"/>
    <w:rsid w:val="006C17A4"/>
    <w:rsid w:val="006C2BFA"/>
    <w:rsid w:val="006C4E21"/>
    <w:rsid w:val="006D0BAE"/>
    <w:rsid w:val="006D524C"/>
    <w:rsid w:val="006D5941"/>
    <w:rsid w:val="006D7CA0"/>
    <w:rsid w:val="006E2F1F"/>
    <w:rsid w:val="006E513A"/>
    <w:rsid w:val="006F3BA8"/>
    <w:rsid w:val="006F6849"/>
    <w:rsid w:val="0070054B"/>
    <w:rsid w:val="00702311"/>
    <w:rsid w:val="007068CA"/>
    <w:rsid w:val="00730776"/>
    <w:rsid w:val="0073672C"/>
    <w:rsid w:val="007369E2"/>
    <w:rsid w:val="0074377C"/>
    <w:rsid w:val="00743F8C"/>
    <w:rsid w:val="007440AC"/>
    <w:rsid w:val="00744E59"/>
    <w:rsid w:val="0074638E"/>
    <w:rsid w:val="00752E03"/>
    <w:rsid w:val="007549A2"/>
    <w:rsid w:val="0075645B"/>
    <w:rsid w:val="00761229"/>
    <w:rsid w:val="00761403"/>
    <w:rsid w:val="00776AE2"/>
    <w:rsid w:val="00777FCE"/>
    <w:rsid w:val="00785516"/>
    <w:rsid w:val="007861CE"/>
    <w:rsid w:val="00790C8A"/>
    <w:rsid w:val="007959BE"/>
    <w:rsid w:val="007A5D5F"/>
    <w:rsid w:val="007C1871"/>
    <w:rsid w:val="007C6788"/>
    <w:rsid w:val="007C791C"/>
    <w:rsid w:val="007D7DF4"/>
    <w:rsid w:val="007E0D23"/>
    <w:rsid w:val="007F16D6"/>
    <w:rsid w:val="007F2859"/>
    <w:rsid w:val="00804538"/>
    <w:rsid w:val="00811771"/>
    <w:rsid w:val="008314CD"/>
    <w:rsid w:val="00833E86"/>
    <w:rsid w:val="00835CEC"/>
    <w:rsid w:val="00836328"/>
    <w:rsid w:val="00840FCB"/>
    <w:rsid w:val="00841E43"/>
    <w:rsid w:val="00841ED9"/>
    <w:rsid w:val="00847D6C"/>
    <w:rsid w:val="008542DE"/>
    <w:rsid w:val="00856A43"/>
    <w:rsid w:val="00867B9F"/>
    <w:rsid w:val="00885AAC"/>
    <w:rsid w:val="0088733D"/>
    <w:rsid w:val="008905A9"/>
    <w:rsid w:val="008910F6"/>
    <w:rsid w:val="008A28C8"/>
    <w:rsid w:val="008A34F6"/>
    <w:rsid w:val="008B3F3F"/>
    <w:rsid w:val="008C16BF"/>
    <w:rsid w:val="008D47F3"/>
    <w:rsid w:val="008D7825"/>
    <w:rsid w:val="008E6CF5"/>
    <w:rsid w:val="008F4D31"/>
    <w:rsid w:val="00900ED0"/>
    <w:rsid w:val="00904978"/>
    <w:rsid w:val="00914AC6"/>
    <w:rsid w:val="009202BF"/>
    <w:rsid w:val="00925BCF"/>
    <w:rsid w:val="00931915"/>
    <w:rsid w:val="00934606"/>
    <w:rsid w:val="009364AC"/>
    <w:rsid w:val="00941A0D"/>
    <w:rsid w:val="00942CD8"/>
    <w:rsid w:val="009442D2"/>
    <w:rsid w:val="00945CF1"/>
    <w:rsid w:val="009474B3"/>
    <w:rsid w:val="00947E7D"/>
    <w:rsid w:val="00951650"/>
    <w:rsid w:val="00951851"/>
    <w:rsid w:val="009528CC"/>
    <w:rsid w:val="00965142"/>
    <w:rsid w:val="00973A17"/>
    <w:rsid w:val="00981DE0"/>
    <w:rsid w:val="0098748F"/>
    <w:rsid w:val="00991156"/>
    <w:rsid w:val="00995A46"/>
    <w:rsid w:val="009A0676"/>
    <w:rsid w:val="009A638F"/>
    <w:rsid w:val="009A7332"/>
    <w:rsid w:val="009B15F9"/>
    <w:rsid w:val="009B4248"/>
    <w:rsid w:val="009B4B32"/>
    <w:rsid w:val="009B79E9"/>
    <w:rsid w:val="009C4022"/>
    <w:rsid w:val="009F5A44"/>
    <w:rsid w:val="00A10E0E"/>
    <w:rsid w:val="00A20647"/>
    <w:rsid w:val="00A24574"/>
    <w:rsid w:val="00A303EE"/>
    <w:rsid w:val="00A30B19"/>
    <w:rsid w:val="00A30F48"/>
    <w:rsid w:val="00A321C7"/>
    <w:rsid w:val="00A42E82"/>
    <w:rsid w:val="00A4524A"/>
    <w:rsid w:val="00A464CB"/>
    <w:rsid w:val="00A513AA"/>
    <w:rsid w:val="00A532CF"/>
    <w:rsid w:val="00A5364F"/>
    <w:rsid w:val="00A54DF1"/>
    <w:rsid w:val="00A5500B"/>
    <w:rsid w:val="00A579BB"/>
    <w:rsid w:val="00A57DE0"/>
    <w:rsid w:val="00A63D55"/>
    <w:rsid w:val="00A7086F"/>
    <w:rsid w:val="00A729B8"/>
    <w:rsid w:val="00A76842"/>
    <w:rsid w:val="00A80971"/>
    <w:rsid w:val="00A95D89"/>
    <w:rsid w:val="00AA11D9"/>
    <w:rsid w:val="00AA13CB"/>
    <w:rsid w:val="00AA23C8"/>
    <w:rsid w:val="00AA79C7"/>
    <w:rsid w:val="00AB24BA"/>
    <w:rsid w:val="00AC2DC6"/>
    <w:rsid w:val="00AC2DD5"/>
    <w:rsid w:val="00AC5518"/>
    <w:rsid w:val="00AD072C"/>
    <w:rsid w:val="00AD0B00"/>
    <w:rsid w:val="00AD0DE2"/>
    <w:rsid w:val="00AD60E1"/>
    <w:rsid w:val="00AD689B"/>
    <w:rsid w:val="00AD6B59"/>
    <w:rsid w:val="00AD6D81"/>
    <w:rsid w:val="00AE2457"/>
    <w:rsid w:val="00AF11E2"/>
    <w:rsid w:val="00AF4FCD"/>
    <w:rsid w:val="00AF60E4"/>
    <w:rsid w:val="00AF633A"/>
    <w:rsid w:val="00B061CA"/>
    <w:rsid w:val="00B1768A"/>
    <w:rsid w:val="00B232A9"/>
    <w:rsid w:val="00B245C1"/>
    <w:rsid w:val="00B30F74"/>
    <w:rsid w:val="00B361D8"/>
    <w:rsid w:val="00B50F3A"/>
    <w:rsid w:val="00B55C2D"/>
    <w:rsid w:val="00B6149C"/>
    <w:rsid w:val="00B67252"/>
    <w:rsid w:val="00B74F0D"/>
    <w:rsid w:val="00B81671"/>
    <w:rsid w:val="00B83E74"/>
    <w:rsid w:val="00B86C5A"/>
    <w:rsid w:val="00B92CC1"/>
    <w:rsid w:val="00B93071"/>
    <w:rsid w:val="00B93EB5"/>
    <w:rsid w:val="00BB7670"/>
    <w:rsid w:val="00BC255C"/>
    <w:rsid w:val="00BC52F2"/>
    <w:rsid w:val="00BD3F03"/>
    <w:rsid w:val="00BE54A4"/>
    <w:rsid w:val="00BE6BA1"/>
    <w:rsid w:val="00BF22DD"/>
    <w:rsid w:val="00BF6319"/>
    <w:rsid w:val="00BF6435"/>
    <w:rsid w:val="00C0080F"/>
    <w:rsid w:val="00C01857"/>
    <w:rsid w:val="00C0704D"/>
    <w:rsid w:val="00C1476B"/>
    <w:rsid w:val="00C15D89"/>
    <w:rsid w:val="00C209DB"/>
    <w:rsid w:val="00C25722"/>
    <w:rsid w:val="00C2691C"/>
    <w:rsid w:val="00C32411"/>
    <w:rsid w:val="00C54254"/>
    <w:rsid w:val="00C571EC"/>
    <w:rsid w:val="00C57654"/>
    <w:rsid w:val="00C618DB"/>
    <w:rsid w:val="00C621E8"/>
    <w:rsid w:val="00C706E4"/>
    <w:rsid w:val="00C75095"/>
    <w:rsid w:val="00C81CD6"/>
    <w:rsid w:val="00C92AF0"/>
    <w:rsid w:val="00CA4F6E"/>
    <w:rsid w:val="00CB0859"/>
    <w:rsid w:val="00CB4390"/>
    <w:rsid w:val="00CC0ED4"/>
    <w:rsid w:val="00CD4874"/>
    <w:rsid w:val="00CE20C9"/>
    <w:rsid w:val="00CE5725"/>
    <w:rsid w:val="00CE5FDA"/>
    <w:rsid w:val="00CE627C"/>
    <w:rsid w:val="00CF0230"/>
    <w:rsid w:val="00CF03F8"/>
    <w:rsid w:val="00CF0ACC"/>
    <w:rsid w:val="00CF0D50"/>
    <w:rsid w:val="00D003C9"/>
    <w:rsid w:val="00D11007"/>
    <w:rsid w:val="00D17EB1"/>
    <w:rsid w:val="00D20B64"/>
    <w:rsid w:val="00D2449B"/>
    <w:rsid w:val="00D25A0A"/>
    <w:rsid w:val="00D30857"/>
    <w:rsid w:val="00D332DA"/>
    <w:rsid w:val="00D422FA"/>
    <w:rsid w:val="00D437BA"/>
    <w:rsid w:val="00D5061D"/>
    <w:rsid w:val="00D51CBF"/>
    <w:rsid w:val="00D54A8D"/>
    <w:rsid w:val="00D54E67"/>
    <w:rsid w:val="00D62E29"/>
    <w:rsid w:val="00D716D2"/>
    <w:rsid w:val="00D7793B"/>
    <w:rsid w:val="00D81FB8"/>
    <w:rsid w:val="00D97FC9"/>
    <w:rsid w:val="00DA1A1A"/>
    <w:rsid w:val="00DA3500"/>
    <w:rsid w:val="00DA3856"/>
    <w:rsid w:val="00DB194D"/>
    <w:rsid w:val="00DB2935"/>
    <w:rsid w:val="00DC167B"/>
    <w:rsid w:val="00DC321E"/>
    <w:rsid w:val="00DD62F6"/>
    <w:rsid w:val="00DE0004"/>
    <w:rsid w:val="00DE3CB5"/>
    <w:rsid w:val="00DF3F24"/>
    <w:rsid w:val="00E03E88"/>
    <w:rsid w:val="00E05A51"/>
    <w:rsid w:val="00E10039"/>
    <w:rsid w:val="00E12C0F"/>
    <w:rsid w:val="00E179E9"/>
    <w:rsid w:val="00E2267E"/>
    <w:rsid w:val="00E22E99"/>
    <w:rsid w:val="00E25565"/>
    <w:rsid w:val="00E2776F"/>
    <w:rsid w:val="00E30B69"/>
    <w:rsid w:val="00E33586"/>
    <w:rsid w:val="00E35346"/>
    <w:rsid w:val="00E4119D"/>
    <w:rsid w:val="00E43268"/>
    <w:rsid w:val="00E441FB"/>
    <w:rsid w:val="00E446E4"/>
    <w:rsid w:val="00E46243"/>
    <w:rsid w:val="00E509F6"/>
    <w:rsid w:val="00E621E6"/>
    <w:rsid w:val="00E6321A"/>
    <w:rsid w:val="00E66534"/>
    <w:rsid w:val="00E67B63"/>
    <w:rsid w:val="00E70ECF"/>
    <w:rsid w:val="00E72F6C"/>
    <w:rsid w:val="00E9515F"/>
    <w:rsid w:val="00E9636C"/>
    <w:rsid w:val="00EA09F9"/>
    <w:rsid w:val="00EC23C7"/>
    <w:rsid w:val="00EC4495"/>
    <w:rsid w:val="00EC4568"/>
    <w:rsid w:val="00EC6E97"/>
    <w:rsid w:val="00EC7A87"/>
    <w:rsid w:val="00ED00B7"/>
    <w:rsid w:val="00ED0247"/>
    <w:rsid w:val="00ED4ABE"/>
    <w:rsid w:val="00EE1A8C"/>
    <w:rsid w:val="00EE5E05"/>
    <w:rsid w:val="00EF2BAA"/>
    <w:rsid w:val="00EF44E6"/>
    <w:rsid w:val="00EF5CB1"/>
    <w:rsid w:val="00F01F7A"/>
    <w:rsid w:val="00F021EF"/>
    <w:rsid w:val="00F066ED"/>
    <w:rsid w:val="00F11AB5"/>
    <w:rsid w:val="00F1219C"/>
    <w:rsid w:val="00F166E3"/>
    <w:rsid w:val="00F23316"/>
    <w:rsid w:val="00F26010"/>
    <w:rsid w:val="00F3338D"/>
    <w:rsid w:val="00F3674E"/>
    <w:rsid w:val="00F40ADE"/>
    <w:rsid w:val="00F456C7"/>
    <w:rsid w:val="00F56F24"/>
    <w:rsid w:val="00F61CA0"/>
    <w:rsid w:val="00F65C9B"/>
    <w:rsid w:val="00F66A63"/>
    <w:rsid w:val="00F70ECD"/>
    <w:rsid w:val="00F86285"/>
    <w:rsid w:val="00F87051"/>
    <w:rsid w:val="00F90C0C"/>
    <w:rsid w:val="00F90CCB"/>
    <w:rsid w:val="00F940FB"/>
    <w:rsid w:val="00F94414"/>
    <w:rsid w:val="00F9645B"/>
    <w:rsid w:val="00FA3F01"/>
    <w:rsid w:val="00FA58F7"/>
    <w:rsid w:val="00FB54EF"/>
    <w:rsid w:val="00FC1C55"/>
    <w:rsid w:val="00FC3150"/>
    <w:rsid w:val="00FC7027"/>
    <w:rsid w:val="00FD52B5"/>
    <w:rsid w:val="00FD6AE3"/>
    <w:rsid w:val="00FD7035"/>
    <w:rsid w:val="00FD7AF9"/>
    <w:rsid w:val="00FE6567"/>
    <w:rsid w:val="00FF170B"/>
    <w:rsid w:val="00FF6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2620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134FBA"/>
    <w:rPr>
      <w:color w:val="0000FF" w:themeColor="hyperlink"/>
      <w:u w:val="single"/>
    </w:rPr>
  </w:style>
  <w:style w:type="character" w:styleId="UnresolvedMention">
    <w:name w:val="Unresolved Mention"/>
    <w:basedOn w:val="DefaultParagraphFont"/>
    <w:uiPriority w:val="99"/>
    <w:semiHidden/>
    <w:unhideWhenUsed/>
    <w:rsid w:val="00134FBA"/>
    <w:rPr>
      <w:color w:val="605E5C"/>
      <w:shd w:val="clear" w:color="auto" w:fill="E1DFDD"/>
    </w:rPr>
  </w:style>
  <w:style w:type="character" w:customStyle="1" w:styleId="Heading1Char">
    <w:name w:val="Heading 1 Char"/>
    <w:basedOn w:val="DefaultParagraphFont"/>
    <w:link w:val="Heading1"/>
    <w:uiPriority w:val="9"/>
    <w:rsid w:val="0026201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5310">
      <w:bodyDiv w:val="1"/>
      <w:marLeft w:val="0"/>
      <w:marRight w:val="0"/>
      <w:marTop w:val="0"/>
      <w:marBottom w:val="0"/>
      <w:divBdr>
        <w:top w:val="none" w:sz="0" w:space="0" w:color="auto"/>
        <w:left w:val="none" w:sz="0" w:space="0" w:color="auto"/>
        <w:bottom w:val="none" w:sz="0" w:space="0" w:color="auto"/>
        <w:right w:val="none" w:sz="0" w:space="0" w:color="auto"/>
      </w:divBdr>
    </w:div>
    <w:div w:id="81419294">
      <w:bodyDiv w:val="1"/>
      <w:marLeft w:val="0"/>
      <w:marRight w:val="0"/>
      <w:marTop w:val="0"/>
      <w:marBottom w:val="0"/>
      <w:divBdr>
        <w:top w:val="none" w:sz="0" w:space="0" w:color="auto"/>
        <w:left w:val="none" w:sz="0" w:space="0" w:color="auto"/>
        <w:bottom w:val="none" w:sz="0" w:space="0" w:color="auto"/>
        <w:right w:val="none" w:sz="0" w:space="0" w:color="auto"/>
      </w:divBdr>
    </w:div>
    <w:div w:id="199902140">
      <w:bodyDiv w:val="1"/>
      <w:marLeft w:val="0"/>
      <w:marRight w:val="0"/>
      <w:marTop w:val="0"/>
      <w:marBottom w:val="0"/>
      <w:divBdr>
        <w:top w:val="none" w:sz="0" w:space="0" w:color="auto"/>
        <w:left w:val="none" w:sz="0" w:space="0" w:color="auto"/>
        <w:bottom w:val="none" w:sz="0" w:space="0" w:color="auto"/>
        <w:right w:val="none" w:sz="0" w:space="0" w:color="auto"/>
      </w:divBdr>
    </w:div>
    <w:div w:id="295138050">
      <w:bodyDiv w:val="1"/>
      <w:marLeft w:val="0"/>
      <w:marRight w:val="0"/>
      <w:marTop w:val="0"/>
      <w:marBottom w:val="0"/>
      <w:divBdr>
        <w:top w:val="none" w:sz="0" w:space="0" w:color="auto"/>
        <w:left w:val="none" w:sz="0" w:space="0" w:color="auto"/>
        <w:bottom w:val="none" w:sz="0" w:space="0" w:color="auto"/>
        <w:right w:val="none" w:sz="0" w:space="0" w:color="auto"/>
      </w:divBdr>
    </w:div>
    <w:div w:id="424303352">
      <w:bodyDiv w:val="1"/>
      <w:marLeft w:val="0"/>
      <w:marRight w:val="0"/>
      <w:marTop w:val="0"/>
      <w:marBottom w:val="0"/>
      <w:divBdr>
        <w:top w:val="none" w:sz="0" w:space="0" w:color="auto"/>
        <w:left w:val="none" w:sz="0" w:space="0" w:color="auto"/>
        <w:bottom w:val="none" w:sz="0" w:space="0" w:color="auto"/>
        <w:right w:val="none" w:sz="0" w:space="0" w:color="auto"/>
      </w:divBdr>
    </w:div>
    <w:div w:id="596594011">
      <w:bodyDiv w:val="1"/>
      <w:marLeft w:val="0"/>
      <w:marRight w:val="0"/>
      <w:marTop w:val="0"/>
      <w:marBottom w:val="0"/>
      <w:divBdr>
        <w:top w:val="none" w:sz="0" w:space="0" w:color="auto"/>
        <w:left w:val="none" w:sz="0" w:space="0" w:color="auto"/>
        <w:bottom w:val="none" w:sz="0" w:space="0" w:color="auto"/>
        <w:right w:val="none" w:sz="0" w:space="0" w:color="auto"/>
      </w:divBdr>
    </w:div>
    <w:div w:id="651449400">
      <w:bodyDiv w:val="1"/>
      <w:marLeft w:val="0"/>
      <w:marRight w:val="0"/>
      <w:marTop w:val="0"/>
      <w:marBottom w:val="0"/>
      <w:divBdr>
        <w:top w:val="none" w:sz="0" w:space="0" w:color="auto"/>
        <w:left w:val="none" w:sz="0" w:space="0" w:color="auto"/>
        <w:bottom w:val="none" w:sz="0" w:space="0" w:color="auto"/>
        <w:right w:val="none" w:sz="0" w:space="0" w:color="auto"/>
      </w:divBdr>
    </w:div>
    <w:div w:id="700399396">
      <w:bodyDiv w:val="1"/>
      <w:marLeft w:val="0"/>
      <w:marRight w:val="0"/>
      <w:marTop w:val="0"/>
      <w:marBottom w:val="0"/>
      <w:divBdr>
        <w:top w:val="none" w:sz="0" w:space="0" w:color="auto"/>
        <w:left w:val="none" w:sz="0" w:space="0" w:color="auto"/>
        <w:bottom w:val="none" w:sz="0" w:space="0" w:color="auto"/>
        <w:right w:val="none" w:sz="0" w:space="0" w:color="auto"/>
      </w:divBdr>
    </w:div>
    <w:div w:id="718626889">
      <w:bodyDiv w:val="1"/>
      <w:marLeft w:val="0"/>
      <w:marRight w:val="0"/>
      <w:marTop w:val="0"/>
      <w:marBottom w:val="0"/>
      <w:divBdr>
        <w:top w:val="none" w:sz="0" w:space="0" w:color="auto"/>
        <w:left w:val="none" w:sz="0" w:space="0" w:color="auto"/>
        <w:bottom w:val="none" w:sz="0" w:space="0" w:color="auto"/>
        <w:right w:val="none" w:sz="0" w:space="0" w:color="auto"/>
      </w:divBdr>
    </w:div>
    <w:div w:id="869225358">
      <w:bodyDiv w:val="1"/>
      <w:marLeft w:val="0"/>
      <w:marRight w:val="0"/>
      <w:marTop w:val="0"/>
      <w:marBottom w:val="0"/>
      <w:divBdr>
        <w:top w:val="none" w:sz="0" w:space="0" w:color="auto"/>
        <w:left w:val="none" w:sz="0" w:space="0" w:color="auto"/>
        <w:bottom w:val="none" w:sz="0" w:space="0" w:color="auto"/>
        <w:right w:val="none" w:sz="0" w:space="0" w:color="auto"/>
      </w:divBdr>
    </w:div>
    <w:div w:id="955791083">
      <w:bodyDiv w:val="1"/>
      <w:marLeft w:val="0"/>
      <w:marRight w:val="0"/>
      <w:marTop w:val="0"/>
      <w:marBottom w:val="0"/>
      <w:divBdr>
        <w:top w:val="none" w:sz="0" w:space="0" w:color="auto"/>
        <w:left w:val="none" w:sz="0" w:space="0" w:color="auto"/>
        <w:bottom w:val="none" w:sz="0" w:space="0" w:color="auto"/>
        <w:right w:val="none" w:sz="0" w:space="0" w:color="auto"/>
      </w:divBdr>
    </w:div>
    <w:div w:id="989869840">
      <w:bodyDiv w:val="1"/>
      <w:marLeft w:val="0"/>
      <w:marRight w:val="0"/>
      <w:marTop w:val="0"/>
      <w:marBottom w:val="0"/>
      <w:divBdr>
        <w:top w:val="none" w:sz="0" w:space="0" w:color="auto"/>
        <w:left w:val="none" w:sz="0" w:space="0" w:color="auto"/>
        <w:bottom w:val="none" w:sz="0" w:space="0" w:color="auto"/>
        <w:right w:val="none" w:sz="0" w:space="0" w:color="auto"/>
      </w:divBdr>
    </w:div>
    <w:div w:id="1025904089">
      <w:bodyDiv w:val="1"/>
      <w:marLeft w:val="0"/>
      <w:marRight w:val="0"/>
      <w:marTop w:val="0"/>
      <w:marBottom w:val="0"/>
      <w:divBdr>
        <w:top w:val="none" w:sz="0" w:space="0" w:color="auto"/>
        <w:left w:val="none" w:sz="0" w:space="0" w:color="auto"/>
        <w:bottom w:val="none" w:sz="0" w:space="0" w:color="auto"/>
        <w:right w:val="none" w:sz="0" w:space="0" w:color="auto"/>
      </w:divBdr>
    </w:div>
    <w:div w:id="1287156528">
      <w:bodyDiv w:val="1"/>
      <w:marLeft w:val="0"/>
      <w:marRight w:val="0"/>
      <w:marTop w:val="0"/>
      <w:marBottom w:val="0"/>
      <w:divBdr>
        <w:top w:val="none" w:sz="0" w:space="0" w:color="auto"/>
        <w:left w:val="none" w:sz="0" w:space="0" w:color="auto"/>
        <w:bottom w:val="none" w:sz="0" w:space="0" w:color="auto"/>
        <w:right w:val="none" w:sz="0" w:space="0" w:color="auto"/>
      </w:divBdr>
    </w:div>
    <w:div w:id="1330476638">
      <w:bodyDiv w:val="1"/>
      <w:marLeft w:val="0"/>
      <w:marRight w:val="0"/>
      <w:marTop w:val="0"/>
      <w:marBottom w:val="0"/>
      <w:divBdr>
        <w:top w:val="none" w:sz="0" w:space="0" w:color="auto"/>
        <w:left w:val="none" w:sz="0" w:space="0" w:color="auto"/>
        <w:bottom w:val="none" w:sz="0" w:space="0" w:color="auto"/>
        <w:right w:val="none" w:sz="0" w:space="0" w:color="auto"/>
      </w:divBdr>
    </w:div>
    <w:div w:id="1631400361">
      <w:bodyDiv w:val="1"/>
      <w:marLeft w:val="0"/>
      <w:marRight w:val="0"/>
      <w:marTop w:val="0"/>
      <w:marBottom w:val="0"/>
      <w:divBdr>
        <w:top w:val="none" w:sz="0" w:space="0" w:color="auto"/>
        <w:left w:val="none" w:sz="0" w:space="0" w:color="auto"/>
        <w:bottom w:val="none" w:sz="0" w:space="0" w:color="auto"/>
        <w:right w:val="none" w:sz="0" w:space="0" w:color="auto"/>
      </w:divBdr>
    </w:div>
    <w:div w:id="1652252191">
      <w:bodyDiv w:val="1"/>
      <w:marLeft w:val="0"/>
      <w:marRight w:val="0"/>
      <w:marTop w:val="0"/>
      <w:marBottom w:val="0"/>
      <w:divBdr>
        <w:top w:val="none" w:sz="0" w:space="0" w:color="auto"/>
        <w:left w:val="none" w:sz="0" w:space="0" w:color="auto"/>
        <w:bottom w:val="none" w:sz="0" w:space="0" w:color="auto"/>
        <w:right w:val="none" w:sz="0" w:space="0" w:color="auto"/>
      </w:divBdr>
    </w:div>
    <w:div w:id="1753971809">
      <w:bodyDiv w:val="1"/>
      <w:marLeft w:val="0"/>
      <w:marRight w:val="0"/>
      <w:marTop w:val="0"/>
      <w:marBottom w:val="0"/>
      <w:divBdr>
        <w:top w:val="none" w:sz="0" w:space="0" w:color="auto"/>
        <w:left w:val="none" w:sz="0" w:space="0" w:color="auto"/>
        <w:bottom w:val="none" w:sz="0" w:space="0" w:color="auto"/>
        <w:right w:val="none" w:sz="0" w:space="0" w:color="auto"/>
      </w:divBdr>
    </w:div>
    <w:div w:id="1977180845">
      <w:bodyDiv w:val="1"/>
      <w:marLeft w:val="0"/>
      <w:marRight w:val="0"/>
      <w:marTop w:val="0"/>
      <w:marBottom w:val="0"/>
      <w:divBdr>
        <w:top w:val="none" w:sz="0" w:space="0" w:color="auto"/>
        <w:left w:val="none" w:sz="0" w:space="0" w:color="auto"/>
        <w:bottom w:val="none" w:sz="0" w:space="0" w:color="auto"/>
        <w:right w:val="none" w:sz="0" w:space="0" w:color="auto"/>
      </w:divBdr>
    </w:div>
    <w:div w:id="20862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2025-03-14T10:54:00Z</dcterms:created>
  <dcterms:modified xsi:type="dcterms:W3CDTF">2025-03-14T10:54:00Z</dcterms:modified>
</cp:coreProperties>
</file>