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6"/>
        <w:gridCol w:w="139"/>
        <w:gridCol w:w="36"/>
        <w:gridCol w:w="674"/>
        <w:gridCol w:w="196"/>
        <w:gridCol w:w="416"/>
        <w:gridCol w:w="698"/>
        <w:gridCol w:w="696"/>
        <w:gridCol w:w="602"/>
        <w:gridCol w:w="897"/>
        <w:gridCol w:w="556"/>
        <w:gridCol w:w="982"/>
        <w:gridCol w:w="1004"/>
        <w:gridCol w:w="1016"/>
      </w:tblGrid>
      <w:tr w:rsidR="004A5EA9" w:rsidRPr="00D2449B" w14:paraId="230E00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095DBED6"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2D51E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4955D317" w:rsidR="00B1590F" w:rsidRPr="00D2449B" w:rsidRDefault="002D51E3" w:rsidP="00D2449B">
            <w:pPr>
              <w:jc w:val="center"/>
              <w:rPr>
                <w:rFonts w:ascii="Calibri" w:hAnsi="Calibri"/>
                <w:b/>
                <w:szCs w:val="22"/>
              </w:rPr>
            </w:pPr>
            <w:r>
              <w:rPr>
                <w:rFonts w:ascii="Calibri" w:hAnsi="Calibri"/>
                <w:b/>
                <w:szCs w:val="22"/>
              </w:rPr>
              <w:t>MC</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914736" w:rsidRDefault="00B1590F" w:rsidP="00D2449B">
            <w:pPr>
              <w:jc w:val="center"/>
              <w:rPr>
                <w:rFonts w:ascii="Calibri" w:hAnsi="Calibri"/>
                <w:b/>
                <w:szCs w:val="22"/>
              </w:rPr>
            </w:pPr>
            <w:r w:rsidRPr="00914736">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11FD6730" w:rsidR="00B1590F" w:rsidRPr="00914736" w:rsidRDefault="00E266E7" w:rsidP="00D2449B">
            <w:pPr>
              <w:jc w:val="center"/>
              <w:rPr>
                <w:rFonts w:ascii="Calibri" w:hAnsi="Calibri"/>
                <w:b/>
                <w:szCs w:val="22"/>
              </w:rPr>
            </w:pPr>
            <w:r>
              <w:rPr>
                <w:rFonts w:ascii="Calibri" w:hAnsi="Calibri"/>
                <w:b/>
                <w:szCs w:val="22"/>
              </w:rPr>
              <w:t>0</w:t>
            </w:r>
            <w:r w:rsidR="00A10E41">
              <w:rPr>
                <w:rFonts w:ascii="Calibri" w:hAnsi="Calibri"/>
                <w:b/>
                <w:szCs w:val="22"/>
              </w:rPr>
              <w:t>6/05</w:t>
            </w:r>
            <w:r>
              <w:rPr>
                <w:rFonts w:ascii="Calibri" w:hAnsi="Calibri"/>
                <w:b/>
                <w:szCs w:val="22"/>
              </w:rPr>
              <w:t>/2025</w:t>
            </w:r>
          </w:p>
        </w:tc>
        <w:tc>
          <w:tcPr>
            <w:tcW w:w="14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7F3583E2" w:rsidR="00B1590F" w:rsidRPr="00D2449B" w:rsidRDefault="008F5B4B"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4E7699C8" w:rsidR="00B1590F" w:rsidRPr="00D2449B" w:rsidRDefault="008F5B4B" w:rsidP="00D2449B">
            <w:pPr>
              <w:jc w:val="center"/>
              <w:rPr>
                <w:rFonts w:ascii="Calibri" w:hAnsi="Calibri"/>
                <w:b/>
                <w:szCs w:val="22"/>
              </w:rPr>
            </w:pPr>
            <w:r>
              <w:rPr>
                <w:rFonts w:ascii="Calibri" w:hAnsi="Calibri"/>
                <w:b/>
                <w:szCs w:val="22"/>
              </w:rPr>
              <w:t>6/5/25</w:t>
            </w:r>
          </w:p>
        </w:tc>
      </w:tr>
      <w:tr w:rsidR="004A5EA9" w:rsidRPr="00D2449B" w14:paraId="2094A164" w14:textId="77777777" w:rsidTr="002D51E3">
        <w:trPr>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63FF66D" w:rsidR="004A5EA9" w:rsidRPr="00250879" w:rsidRDefault="002D51E3" w:rsidP="008542DE">
            <w:pPr>
              <w:rPr>
                <w:rFonts w:ascii="Calibri" w:hAnsi="Calibri"/>
                <w:color w:val="548DD4" w:themeColor="text2" w:themeTint="99"/>
                <w:szCs w:val="22"/>
              </w:rPr>
            </w:pPr>
            <w:r>
              <w:rPr>
                <w:rFonts w:ascii="Calibri" w:hAnsi="Calibri"/>
                <w:szCs w:val="22"/>
              </w:rPr>
              <w:t>3/2025/</w:t>
            </w:r>
            <w:r w:rsidR="00A31EEC">
              <w:rPr>
                <w:rFonts w:ascii="Calibri" w:hAnsi="Calibri"/>
                <w:szCs w:val="22"/>
              </w:rPr>
              <w:t>0086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6D3DB587" w:rsidR="00CA7A7E" w:rsidRPr="00500FBD" w:rsidRDefault="00A31EEC" w:rsidP="002C6277">
            <w:pPr>
              <w:rPr>
                <w:rFonts w:ascii="Calibri" w:hAnsi="Calibri"/>
                <w:szCs w:val="22"/>
                <w:highlight w:val="yellow"/>
              </w:rPr>
            </w:pPr>
            <w:r>
              <w:rPr>
                <w:rFonts w:ascii="Calibri" w:hAnsi="Calibri"/>
                <w:szCs w:val="22"/>
              </w:rPr>
              <w:t>15/04/2025</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2647F3EC" w:rsidR="00CA7A7E" w:rsidRPr="00CA7A7E" w:rsidRDefault="00CA7A7E" w:rsidP="002C6277">
            <w:pPr>
              <w:rPr>
                <w:rFonts w:ascii="Calibri" w:hAnsi="Calibri"/>
                <w:b/>
                <w:bCs/>
                <w:szCs w:val="22"/>
              </w:rPr>
            </w:pPr>
            <w:r w:rsidRPr="00CA7A7E">
              <w:rPr>
                <w:rFonts w:ascii="Calibri" w:hAnsi="Calibri"/>
                <w:b/>
                <w:bCs/>
                <w:szCs w:val="22"/>
              </w:rPr>
              <w:t>Site Notice</w:t>
            </w:r>
            <w:r w:rsidR="002D51E3">
              <w:rPr>
                <w:rFonts w:ascii="Calibri" w:hAnsi="Calibri"/>
                <w:b/>
                <w:bCs/>
                <w:szCs w:val="22"/>
              </w:rPr>
              <w:t>:</w:t>
            </w:r>
          </w:p>
        </w:tc>
        <w:tc>
          <w:tcPr>
            <w:tcW w:w="140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B4BAE26" w:rsidR="00CA7A7E" w:rsidRPr="00C0704D" w:rsidRDefault="00A31EEC" w:rsidP="002C6277">
            <w:pPr>
              <w:rPr>
                <w:rFonts w:ascii="Calibri" w:hAnsi="Calibri"/>
                <w:szCs w:val="22"/>
              </w:rPr>
            </w:pPr>
            <w:r>
              <w:rPr>
                <w:rFonts w:ascii="Calibri" w:hAnsi="Calibri"/>
                <w:szCs w:val="22"/>
              </w:rPr>
              <w:t>15/04/2025</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8784F11" w:rsidR="004A5EA9" w:rsidRPr="00250879" w:rsidRDefault="00500FBD" w:rsidP="00811771">
            <w:pPr>
              <w:rPr>
                <w:rFonts w:ascii="Calibri" w:hAnsi="Calibri"/>
                <w:color w:val="548DD4" w:themeColor="text2" w:themeTint="99"/>
                <w:szCs w:val="22"/>
              </w:rPr>
            </w:pPr>
            <w:r w:rsidRPr="00500FBD">
              <w:rPr>
                <w:rFonts w:ascii="Calibri" w:hAnsi="Calibri"/>
                <w:szCs w:val="22"/>
              </w:rPr>
              <w:t>MC</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2D51E3">
        <w:trPr>
          <w:jc w:val="center"/>
        </w:trPr>
        <w:tc>
          <w:tcPr>
            <w:tcW w:w="610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78DD714" w:rsidR="004A5EA9" w:rsidRPr="00D2449B" w:rsidRDefault="00914736" w:rsidP="002A01CF">
            <w:pPr>
              <w:jc w:val="center"/>
              <w:rPr>
                <w:rFonts w:ascii="Calibri" w:hAnsi="Calibri"/>
                <w:b/>
                <w:szCs w:val="22"/>
              </w:rPr>
            </w:pPr>
            <w:r w:rsidRPr="00A10E41">
              <w:rPr>
                <w:rFonts w:ascii="Calibri" w:hAnsi="Calibri"/>
                <w:b/>
                <w:szCs w:val="22"/>
              </w:rPr>
              <w:t>APPROVAL</w:t>
            </w:r>
          </w:p>
        </w:tc>
      </w:tr>
      <w:tr w:rsidR="004A5EA9" w:rsidRPr="00D2449B" w14:paraId="7813B96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F4654D0" w:rsidR="004A5EA9" w:rsidRPr="002C6277" w:rsidRDefault="00A31EEC">
            <w:pPr>
              <w:rPr>
                <w:rFonts w:ascii="Calibri" w:hAnsi="Calibri"/>
                <w:szCs w:val="22"/>
              </w:rPr>
            </w:pPr>
            <w:r w:rsidRPr="00A31EEC">
              <w:rPr>
                <w:rFonts w:ascii="Calibri" w:hAnsi="Calibri"/>
                <w:szCs w:val="22"/>
              </w:rPr>
              <w:t>Listed Building Consent for removal of existing render including smooth rendered surrounds, door surround and Quion feature to reveal stonework, raking out joints and pointing in lime mortar.</w:t>
            </w:r>
          </w:p>
        </w:tc>
      </w:tr>
      <w:tr w:rsidR="002A01CF" w:rsidRPr="00D2449B" w14:paraId="52988241"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60E422C" w:rsidR="002A01CF" w:rsidRPr="00A31EEC" w:rsidRDefault="00A31EEC" w:rsidP="00A42E82">
            <w:pPr>
              <w:rPr>
                <w:rFonts w:ascii="Calibri" w:hAnsi="Calibri"/>
                <w:szCs w:val="22"/>
              </w:rPr>
            </w:pPr>
            <w:r w:rsidRPr="00A31EEC">
              <w:rPr>
                <w:rFonts w:ascii="Calibri" w:hAnsi="Calibri"/>
                <w:szCs w:val="22"/>
              </w:rPr>
              <w:t>9 West View</w:t>
            </w:r>
            <w:r>
              <w:rPr>
                <w:rFonts w:ascii="Calibri" w:hAnsi="Calibri"/>
                <w:szCs w:val="22"/>
              </w:rPr>
              <w:t>,</w:t>
            </w:r>
            <w:r w:rsidRPr="00A31EEC">
              <w:rPr>
                <w:rFonts w:ascii="Calibri" w:hAnsi="Calibri"/>
                <w:szCs w:val="22"/>
              </w:rPr>
              <w:t xml:space="preserve"> Glen Avenue</w:t>
            </w:r>
            <w:r>
              <w:rPr>
                <w:rFonts w:ascii="Calibri" w:hAnsi="Calibri"/>
                <w:szCs w:val="22"/>
              </w:rPr>
              <w:t>,</w:t>
            </w:r>
            <w:r w:rsidRPr="00A31EEC">
              <w:rPr>
                <w:rFonts w:ascii="Calibri" w:hAnsi="Calibri"/>
                <w:szCs w:val="22"/>
              </w:rPr>
              <w:t xml:space="preserve"> Ribchester</w:t>
            </w:r>
            <w:r>
              <w:rPr>
                <w:rFonts w:ascii="Calibri" w:hAnsi="Calibri"/>
                <w:szCs w:val="22"/>
              </w:rPr>
              <w:t>,</w:t>
            </w:r>
            <w:r w:rsidRPr="00A31EEC">
              <w:rPr>
                <w:rFonts w:ascii="Calibri" w:hAnsi="Calibri"/>
                <w:szCs w:val="22"/>
              </w:rPr>
              <w:t xml:space="preserve"> PR3 2ZQ</w:t>
            </w:r>
          </w:p>
        </w:tc>
      </w:tr>
      <w:tr w:rsidR="00A95D89" w:rsidRPr="00D2449B" w14:paraId="3FB99B2E"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A6CC579" w:rsidR="002A01CF" w:rsidRPr="0097239E" w:rsidRDefault="002D51E3">
            <w:pPr>
              <w:rPr>
                <w:rFonts w:ascii="Calibri" w:hAnsi="Calibri"/>
                <w:bCs/>
                <w:szCs w:val="22"/>
              </w:rPr>
            </w:pPr>
            <w:r>
              <w:rPr>
                <w:rFonts w:ascii="Calibri" w:hAnsi="Calibri"/>
                <w:bCs/>
                <w:szCs w:val="22"/>
              </w:rPr>
              <w:t xml:space="preserve">No </w:t>
            </w:r>
            <w:r w:rsidR="00E266E7">
              <w:rPr>
                <w:rFonts w:ascii="Calibri" w:hAnsi="Calibri"/>
                <w:bCs/>
                <w:szCs w:val="22"/>
              </w:rPr>
              <w:t>response received.</w:t>
            </w:r>
          </w:p>
        </w:tc>
      </w:tr>
      <w:tr w:rsidR="00C618DB" w:rsidRPr="00D2449B" w14:paraId="639E958B"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398692B" w:rsidR="002A01CF" w:rsidRPr="0089743D" w:rsidRDefault="00F35EC4">
            <w:pPr>
              <w:rPr>
                <w:rFonts w:ascii="Calibri" w:hAnsi="Calibri"/>
                <w:b/>
                <w:szCs w:val="22"/>
              </w:rPr>
            </w:pPr>
            <w:r w:rsidRPr="0089743D">
              <w:rPr>
                <w:rFonts w:ascii="Calibri" w:hAnsi="Calibri"/>
                <w:b/>
                <w:szCs w:val="22"/>
              </w:rPr>
              <w:t>Growth Lancashire</w:t>
            </w:r>
            <w:r w:rsidR="002D51E3" w:rsidRPr="0089743D">
              <w:rPr>
                <w:rFonts w:ascii="Calibri" w:hAnsi="Calibri"/>
                <w:b/>
                <w:szCs w:val="22"/>
              </w:rPr>
              <w:t xml:space="preserve">: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E14C336" w:rsidR="002A01CF" w:rsidRPr="0089743D" w:rsidRDefault="00A31EEC">
            <w:pPr>
              <w:rPr>
                <w:rFonts w:ascii="Calibri" w:hAnsi="Calibri"/>
                <w:bCs/>
                <w:szCs w:val="22"/>
              </w:rPr>
            </w:pPr>
            <w:r w:rsidRPr="00A31EEC">
              <w:rPr>
                <w:rFonts w:ascii="Calibri" w:hAnsi="Calibri"/>
                <w:bCs/>
                <w:szCs w:val="22"/>
              </w:rPr>
              <w:t xml:space="preserve">Subject to amendments (mortar) the scheme will meet the statutory duty to preserve and accord with Chapter 16 of the NPPF, meeting the requirements of local policy DME4. </w:t>
            </w:r>
            <w:r>
              <w:rPr>
                <w:rFonts w:ascii="Calibri" w:hAnsi="Calibri"/>
                <w:bCs/>
                <w:szCs w:val="22"/>
              </w:rPr>
              <w:t>They consider an</w:t>
            </w:r>
            <w:r w:rsidRPr="00A31EEC">
              <w:rPr>
                <w:rFonts w:ascii="Calibri" w:hAnsi="Calibri"/>
                <w:bCs/>
                <w:szCs w:val="22"/>
              </w:rPr>
              <w:t xml:space="preserve"> NHL2 should be used instead of NHL3.5 to mitigate the slight harm identified. This could be dealt with via the use of a suitable Condition.</w:t>
            </w:r>
          </w:p>
        </w:tc>
      </w:tr>
      <w:tr w:rsidR="00C0704D" w:rsidRPr="00D2449B" w14:paraId="62663A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403EA63B" w:rsidR="00C0704D" w:rsidRPr="00C0704D" w:rsidRDefault="00C0704D" w:rsidP="00D74711">
            <w:pPr>
              <w:rPr>
                <w:rFonts w:ascii="Calibri" w:hAnsi="Calibri"/>
                <w:szCs w:val="22"/>
              </w:rPr>
            </w:pPr>
          </w:p>
        </w:tc>
      </w:tr>
      <w:tr w:rsidR="00C0704D" w:rsidRPr="00D2449B" w14:paraId="29EBDA1F"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8B794D2" w:rsidR="00C51074" w:rsidRPr="00C0704D" w:rsidRDefault="00F35EC4" w:rsidP="00500FBD">
            <w:pPr>
              <w:rPr>
                <w:rFonts w:ascii="Calibri" w:hAnsi="Calibri"/>
                <w:szCs w:val="22"/>
              </w:rPr>
            </w:pPr>
            <w:r w:rsidRPr="00914736">
              <w:rPr>
                <w:rFonts w:ascii="Calibri" w:hAnsi="Calibri"/>
                <w:szCs w:val="22"/>
              </w:rPr>
              <w:t>None received.</w:t>
            </w:r>
            <w:r>
              <w:rPr>
                <w:rFonts w:ascii="Calibri" w:hAnsi="Calibri"/>
                <w:szCs w:val="22"/>
              </w:rPr>
              <w:t xml:space="preserve"> </w:t>
            </w:r>
          </w:p>
        </w:tc>
      </w:tr>
      <w:tr w:rsidR="00C0704D" w:rsidRPr="00D2449B" w14:paraId="1CDFA4C3"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3E3D3133" w14:textId="77777777" w:rsidR="00500FBD" w:rsidRPr="00C618DB" w:rsidRDefault="00500FBD" w:rsidP="00500FBD">
            <w:pPr>
              <w:pStyle w:val="PLANNING"/>
              <w:rPr>
                <w:rFonts w:ascii="Calibri" w:hAnsi="Calibri"/>
                <w:szCs w:val="22"/>
              </w:rPr>
            </w:pPr>
            <w:r w:rsidRPr="00C618DB">
              <w:rPr>
                <w:rFonts w:ascii="Calibri" w:hAnsi="Calibri"/>
                <w:szCs w:val="22"/>
              </w:rPr>
              <w:t>Key Statement DS1 – Development Strategy</w:t>
            </w:r>
          </w:p>
          <w:p w14:paraId="4C95424D" w14:textId="77777777" w:rsidR="00500FBD" w:rsidRDefault="00500FBD" w:rsidP="00500FBD">
            <w:pPr>
              <w:pStyle w:val="PLANNING"/>
              <w:rPr>
                <w:rFonts w:ascii="Calibri" w:hAnsi="Calibri"/>
                <w:szCs w:val="22"/>
              </w:rPr>
            </w:pPr>
            <w:r w:rsidRPr="00C618DB">
              <w:rPr>
                <w:rFonts w:ascii="Calibri" w:hAnsi="Calibri"/>
                <w:szCs w:val="22"/>
              </w:rPr>
              <w:t>Key Statement DS2 – Sustainable Development</w:t>
            </w:r>
          </w:p>
          <w:p w14:paraId="151D5679" w14:textId="77777777" w:rsidR="00500FBD" w:rsidRDefault="00500FBD" w:rsidP="00500FBD">
            <w:pPr>
              <w:pStyle w:val="PLANNING"/>
              <w:rPr>
                <w:rFonts w:ascii="Calibri" w:hAnsi="Calibri"/>
                <w:szCs w:val="22"/>
              </w:rPr>
            </w:pPr>
            <w:r>
              <w:rPr>
                <w:rFonts w:ascii="Calibri" w:hAnsi="Calibri"/>
                <w:szCs w:val="22"/>
              </w:rPr>
              <w:t>Key Statement EN5 – Heritage Assets</w:t>
            </w:r>
          </w:p>
          <w:p w14:paraId="218B12E9" w14:textId="77777777" w:rsidR="00500FBD" w:rsidRPr="00C618DB" w:rsidRDefault="00500FBD" w:rsidP="00500FBD">
            <w:pPr>
              <w:pStyle w:val="PLANNING"/>
              <w:rPr>
                <w:rFonts w:ascii="Calibri" w:hAnsi="Calibri"/>
                <w:szCs w:val="22"/>
              </w:rPr>
            </w:pPr>
          </w:p>
          <w:p w14:paraId="6F613BE6" w14:textId="77777777" w:rsidR="00500FBD" w:rsidRPr="00C618DB" w:rsidRDefault="00500FBD" w:rsidP="00500FBD">
            <w:pPr>
              <w:pStyle w:val="PLANNING"/>
              <w:rPr>
                <w:rFonts w:ascii="Calibri" w:hAnsi="Calibri"/>
                <w:szCs w:val="22"/>
              </w:rPr>
            </w:pPr>
            <w:r w:rsidRPr="00C618DB">
              <w:rPr>
                <w:rFonts w:ascii="Calibri" w:hAnsi="Calibri"/>
                <w:szCs w:val="22"/>
              </w:rPr>
              <w:t>Policy DMG1 – General Considerations</w:t>
            </w:r>
          </w:p>
          <w:p w14:paraId="0043DCCC" w14:textId="77777777" w:rsidR="00500FBD" w:rsidRDefault="00500FBD" w:rsidP="00500FBD">
            <w:pPr>
              <w:pStyle w:val="PLANNING"/>
              <w:rPr>
                <w:rFonts w:ascii="Calibri" w:hAnsi="Calibri"/>
                <w:szCs w:val="22"/>
              </w:rPr>
            </w:pPr>
            <w:r>
              <w:rPr>
                <w:rFonts w:ascii="Calibri" w:hAnsi="Calibri"/>
                <w:szCs w:val="22"/>
              </w:rPr>
              <w:t>Policy DME4 – Protecting Heritage Assets</w:t>
            </w:r>
          </w:p>
          <w:p w14:paraId="467A2380" w14:textId="77777777" w:rsidR="00500FBD" w:rsidRDefault="00500FBD" w:rsidP="00500FBD">
            <w:pPr>
              <w:pStyle w:val="PLANNING"/>
              <w:rPr>
                <w:rFonts w:ascii="Calibri" w:hAnsi="Calibri"/>
                <w:szCs w:val="22"/>
              </w:rPr>
            </w:pPr>
          </w:p>
          <w:p w14:paraId="56B0B17A" w14:textId="77777777" w:rsidR="00500FBD" w:rsidRPr="00C618DB" w:rsidRDefault="00500FBD" w:rsidP="00500FBD">
            <w:pPr>
              <w:pStyle w:val="PLANNING"/>
              <w:rPr>
                <w:rFonts w:ascii="Calibri" w:hAnsi="Calibri"/>
                <w:szCs w:val="22"/>
              </w:rPr>
            </w:pPr>
            <w:r w:rsidRPr="00D11007">
              <w:rPr>
                <w:rFonts w:ascii="Calibri" w:hAnsi="Calibri"/>
                <w:szCs w:val="22"/>
              </w:rPr>
              <w:t>Planning (Listed Buildings and Conservation Areas) Act</w:t>
            </w:r>
          </w:p>
          <w:p w14:paraId="6E7B1F70" w14:textId="5DBC7A09" w:rsidR="00AF5E2C" w:rsidRDefault="00500FBD"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B1069E" w:rsidRDefault="00C0704D" w:rsidP="006A71AD">
            <w:pPr>
              <w:pStyle w:val="PLANNING"/>
              <w:rPr>
                <w:rFonts w:asciiTheme="minorHAnsi" w:hAnsiTheme="minorHAnsi" w:cstheme="minorHAnsi"/>
                <w:b/>
                <w:bCs/>
                <w:szCs w:val="22"/>
              </w:rPr>
            </w:pPr>
            <w:r w:rsidRPr="00B1069E">
              <w:rPr>
                <w:rFonts w:asciiTheme="minorHAnsi" w:hAnsiTheme="minorHAnsi" w:cstheme="minorHAnsi"/>
                <w:b/>
                <w:bCs/>
                <w:szCs w:val="22"/>
              </w:rPr>
              <w:t>Relevant Planning History:</w:t>
            </w:r>
          </w:p>
          <w:p w14:paraId="1D356246" w14:textId="06F5816F" w:rsidR="00C0704D" w:rsidRPr="00B1069E" w:rsidRDefault="00C0704D" w:rsidP="00C0704D">
            <w:pPr>
              <w:pStyle w:val="PLANNING"/>
              <w:rPr>
                <w:rFonts w:asciiTheme="minorHAnsi" w:hAnsiTheme="minorHAnsi" w:cstheme="minorHAnsi"/>
                <w:b/>
                <w:bCs/>
                <w:szCs w:val="22"/>
              </w:rPr>
            </w:pPr>
          </w:p>
          <w:p w14:paraId="2E6940C6" w14:textId="13602C0D" w:rsidR="00500FBD" w:rsidRDefault="00A10E41" w:rsidP="00500FBD">
            <w:pPr>
              <w:pStyle w:val="PLANNING"/>
              <w:rPr>
                <w:rFonts w:asciiTheme="minorHAnsi" w:hAnsiTheme="minorHAnsi" w:cstheme="minorHAnsi"/>
                <w:b/>
                <w:bCs/>
                <w:szCs w:val="22"/>
              </w:rPr>
            </w:pPr>
            <w:r>
              <w:rPr>
                <w:rFonts w:asciiTheme="minorHAnsi" w:hAnsiTheme="minorHAnsi" w:cstheme="minorHAnsi"/>
                <w:b/>
                <w:bCs/>
                <w:szCs w:val="22"/>
              </w:rPr>
              <w:t>3/2004/0010</w:t>
            </w:r>
          </w:p>
          <w:p w14:paraId="2906194F" w14:textId="535758B8" w:rsidR="00A10E41" w:rsidRDefault="00A10E41" w:rsidP="00500FBD">
            <w:pPr>
              <w:pStyle w:val="PLANNING"/>
              <w:rPr>
                <w:rFonts w:asciiTheme="minorHAnsi" w:hAnsiTheme="minorHAnsi" w:cstheme="minorHAnsi"/>
                <w:szCs w:val="22"/>
              </w:rPr>
            </w:pPr>
            <w:r w:rsidRPr="00A10E41">
              <w:rPr>
                <w:rFonts w:asciiTheme="minorHAnsi" w:hAnsiTheme="minorHAnsi" w:cstheme="minorHAnsi"/>
                <w:szCs w:val="22"/>
              </w:rPr>
              <w:t>TO ERECT A SATELITTE TELEVISION DISH ON THE REAR ELEVATION OF THE PROPERTY</w:t>
            </w:r>
          </w:p>
          <w:p w14:paraId="6031BE48" w14:textId="74D4DF05" w:rsidR="00A10E41" w:rsidRPr="00A10E41" w:rsidRDefault="00A10E41" w:rsidP="00500FBD">
            <w:pPr>
              <w:pStyle w:val="PLANNING"/>
              <w:rPr>
                <w:rFonts w:asciiTheme="minorHAnsi" w:hAnsiTheme="minorHAnsi" w:cstheme="minorHAnsi"/>
                <w:szCs w:val="22"/>
              </w:rPr>
            </w:pPr>
            <w:r>
              <w:rPr>
                <w:rFonts w:asciiTheme="minorHAnsi" w:hAnsiTheme="minorHAnsi" w:cstheme="minorHAnsi"/>
                <w:szCs w:val="22"/>
              </w:rPr>
              <w:t>Approved with Conditions</w:t>
            </w:r>
          </w:p>
          <w:p w14:paraId="17147D50" w14:textId="1B19B3D1" w:rsidR="0046548C" w:rsidRPr="00B1069E" w:rsidRDefault="0046548C" w:rsidP="00A31EEC">
            <w:pPr>
              <w:pStyle w:val="PLANNING"/>
              <w:rPr>
                <w:rFonts w:asciiTheme="minorHAnsi" w:hAnsiTheme="minorHAnsi" w:cstheme="minorHAnsi"/>
                <w:b/>
                <w:bCs/>
                <w:szCs w:val="22"/>
              </w:rPr>
            </w:pPr>
          </w:p>
        </w:tc>
      </w:tr>
      <w:tr w:rsidR="00C0704D" w:rsidRPr="00D2449B" w14:paraId="6AAC3B0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1C461E02" w14:textId="77777777" w:rsidR="00CC4B47" w:rsidRPr="00E85D14" w:rsidRDefault="00CC4B47" w:rsidP="00CC4B47">
            <w:pPr>
              <w:overflowPunct/>
              <w:autoSpaceDE/>
              <w:autoSpaceDN/>
              <w:adjustRightInd/>
              <w:jc w:val="both"/>
              <w:textAlignment w:val="auto"/>
              <w:rPr>
                <w:rFonts w:asciiTheme="minorHAnsi" w:hAnsiTheme="minorHAnsi" w:cstheme="minorHAnsi"/>
                <w:szCs w:val="24"/>
              </w:rPr>
            </w:pPr>
          </w:p>
          <w:p w14:paraId="430282AD" w14:textId="276D02E1" w:rsidR="00247443" w:rsidRDefault="00247443" w:rsidP="00247443">
            <w:pPr>
              <w:overflowPunct/>
              <w:autoSpaceDE/>
              <w:autoSpaceDN/>
              <w:adjustRightInd/>
              <w:jc w:val="both"/>
              <w:textAlignment w:val="auto"/>
              <w:rPr>
                <w:rFonts w:asciiTheme="minorHAnsi" w:hAnsiTheme="minorHAnsi" w:cstheme="minorHAnsi"/>
                <w:bCs/>
                <w:szCs w:val="24"/>
              </w:rPr>
            </w:pPr>
            <w:r w:rsidRPr="00247443">
              <w:rPr>
                <w:rFonts w:asciiTheme="minorHAnsi" w:hAnsiTheme="minorHAnsi" w:cstheme="minorHAnsi"/>
                <w:bCs/>
                <w:szCs w:val="24"/>
              </w:rPr>
              <w:t xml:space="preserve">The site is comprised of </w:t>
            </w:r>
            <w:r w:rsidR="002272A2">
              <w:rPr>
                <w:rFonts w:asciiTheme="minorHAnsi" w:hAnsiTheme="minorHAnsi" w:cstheme="minorHAnsi"/>
                <w:bCs/>
                <w:szCs w:val="24"/>
              </w:rPr>
              <w:t>no</w:t>
            </w:r>
            <w:r w:rsidR="002272A2" w:rsidRPr="002272A2">
              <w:rPr>
                <w:rFonts w:asciiTheme="minorHAnsi" w:hAnsiTheme="minorHAnsi" w:cstheme="minorHAnsi"/>
                <w:bCs/>
                <w:szCs w:val="24"/>
              </w:rPr>
              <w:t xml:space="preserve">.9 West View is part of a 17th century barn that was converted into cottages in early 19th century. The cottages are two storey and sit in a row fronting Glen Avenue with no.9 at the end of the row. They are set behind front gardens. No.9 sits adjacent to Grade II listed Knoll Hall. </w:t>
            </w:r>
            <w:r w:rsidR="002272A2" w:rsidRPr="00247443">
              <w:rPr>
                <w:rFonts w:asciiTheme="minorHAnsi" w:hAnsiTheme="minorHAnsi" w:cstheme="minorHAnsi"/>
                <w:bCs/>
                <w:szCs w:val="24"/>
              </w:rPr>
              <w:t xml:space="preserve">The </w:t>
            </w:r>
            <w:r w:rsidR="002272A2">
              <w:rPr>
                <w:rFonts w:asciiTheme="minorHAnsi" w:hAnsiTheme="minorHAnsi" w:cstheme="minorHAnsi"/>
                <w:bCs/>
                <w:szCs w:val="24"/>
              </w:rPr>
              <w:t>dwelling has been rendered externally to the front elevation.</w:t>
            </w:r>
          </w:p>
          <w:p w14:paraId="2A69CD7A" w14:textId="77777777" w:rsidR="002272A2" w:rsidRDefault="002272A2" w:rsidP="00247443">
            <w:pPr>
              <w:overflowPunct/>
              <w:autoSpaceDE/>
              <w:autoSpaceDN/>
              <w:adjustRightInd/>
              <w:jc w:val="both"/>
              <w:textAlignment w:val="auto"/>
              <w:rPr>
                <w:rFonts w:asciiTheme="minorHAnsi" w:hAnsiTheme="minorHAnsi" w:cstheme="minorHAnsi"/>
                <w:bCs/>
                <w:i/>
                <w:iCs/>
                <w:szCs w:val="24"/>
              </w:rPr>
            </w:pPr>
          </w:p>
          <w:p w14:paraId="6D0511AA" w14:textId="15B3C96D" w:rsidR="002272A2" w:rsidRDefault="002272A2" w:rsidP="00247443">
            <w:pPr>
              <w:overflowPunct/>
              <w:autoSpaceDE/>
              <w:autoSpaceDN/>
              <w:adjustRightInd/>
              <w:jc w:val="both"/>
              <w:textAlignment w:val="auto"/>
              <w:rPr>
                <w:rFonts w:asciiTheme="minorHAnsi" w:hAnsiTheme="minorHAnsi" w:cstheme="minorHAnsi"/>
                <w:bCs/>
                <w:szCs w:val="24"/>
              </w:rPr>
            </w:pPr>
            <w:r>
              <w:rPr>
                <w:rFonts w:asciiTheme="minorHAnsi" w:hAnsiTheme="minorHAnsi" w:cstheme="minorHAnsi"/>
                <w:bCs/>
                <w:szCs w:val="24"/>
              </w:rPr>
              <w:t>The Listing is as follows:</w:t>
            </w:r>
          </w:p>
          <w:p w14:paraId="03F518BF" w14:textId="77777777" w:rsidR="002272A2" w:rsidRDefault="002272A2" w:rsidP="00247443">
            <w:pPr>
              <w:overflowPunct/>
              <w:autoSpaceDE/>
              <w:autoSpaceDN/>
              <w:adjustRightInd/>
              <w:jc w:val="both"/>
              <w:textAlignment w:val="auto"/>
              <w:rPr>
                <w:rFonts w:asciiTheme="minorHAnsi" w:hAnsiTheme="minorHAnsi" w:cstheme="minorHAnsi"/>
                <w:bCs/>
                <w:szCs w:val="24"/>
              </w:rPr>
            </w:pPr>
          </w:p>
          <w:p w14:paraId="5D867216" w14:textId="0986919A"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r>
              <w:rPr>
                <w:rFonts w:asciiTheme="minorHAnsi" w:hAnsiTheme="minorHAnsi" w:cstheme="minorHAnsi"/>
                <w:bCs/>
                <w:i/>
                <w:iCs/>
                <w:szCs w:val="24"/>
              </w:rPr>
              <w:t>“</w:t>
            </w:r>
            <w:r w:rsidRPr="002272A2">
              <w:rPr>
                <w:rFonts w:asciiTheme="minorHAnsi" w:hAnsiTheme="minorHAnsi" w:cstheme="minorHAnsi"/>
                <w:bCs/>
                <w:i/>
                <w:iCs/>
                <w:szCs w:val="24"/>
              </w:rPr>
              <w:t>SD 63 NW RIBCHESTER CLAY HILL LANE Knowle Green</w:t>
            </w:r>
          </w:p>
          <w:p w14:paraId="09D3996D" w14:textId="77777777"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p>
          <w:p w14:paraId="15B19F80" w14:textId="77777777"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r w:rsidRPr="002272A2">
              <w:rPr>
                <w:rFonts w:asciiTheme="minorHAnsi" w:hAnsiTheme="minorHAnsi" w:cstheme="minorHAnsi"/>
                <w:bCs/>
                <w:i/>
                <w:iCs/>
                <w:szCs w:val="24"/>
              </w:rPr>
              <w:t>7/145 Nos. 9 and 10 (West View) and barn adjoining to south-west</w:t>
            </w:r>
          </w:p>
          <w:p w14:paraId="5A40AE1E" w14:textId="77777777"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p>
          <w:p w14:paraId="7E648CB6" w14:textId="77777777"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r w:rsidRPr="002272A2">
              <w:rPr>
                <w:rFonts w:asciiTheme="minorHAnsi" w:hAnsiTheme="minorHAnsi" w:cstheme="minorHAnsi"/>
                <w:bCs/>
                <w:i/>
                <w:iCs/>
                <w:szCs w:val="24"/>
              </w:rPr>
              <w:t>GV II</w:t>
            </w:r>
          </w:p>
          <w:p w14:paraId="72771DD2" w14:textId="77777777"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p>
          <w:p w14:paraId="10F4D86D" w14:textId="666231B2" w:rsidR="002272A2" w:rsidRPr="002272A2" w:rsidRDefault="002272A2" w:rsidP="002272A2">
            <w:pPr>
              <w:overflowPunct/>
              <w:autoSpaceDE/>
              <w:autoSpaceDN/>
              <w:adjustRightInd/>
              <w:jc w:val="both"/>
              <w:textAlignment w:val="auto"/>
              <w:rPr>
                <w:rFonts w:asciiTheme="minorHAnsi" w:hAnsiTheme="minorHAnsi" w:cstheme="minorHAnsi"/>
                <w:bCs/>
                <w:i/>
                <w:iCs/>
                <w:szCs w:val="24"/>
              </w:rPr>
            </w:pPr>
            <w:r w:rsidRPr="002272A2">
              <w:rPr>
                <w:rFonts w:asciiTheme="minorHAnsi" w:hAnsiTheme="minorHAnsi" w:cstheme="minorHAnsi"/>
                <w:bCs/>
                <w:i/>
                <w:iCs/>
                <w:szCs w:val="24"/>
              </w:rPr>
              <w:t>Barn, C17th, the north-west end converted into 2 cottages early C19th. Sandstone rubble with roof of slate and of asbestos sheets. The north wall has a wide chamfered entrance with triangular head, with a similar smaller window to the right now blocked to form a window, and a door between them with plain reveals. Above are chamfered ventilation slits. The cottages to the left have modern windows with plain reveals. Their left-hand gable has a coping, a blocked chamfered door surround, and a window under the apex with a double-chamfered surround. The south wall has a wide entrance with chamfered jambs and later wooden lintel, with a smaller door with chamfered jambs and triangular head at the left, and 2 windows with plain reveals between them. Above are chamfered ventilation slits. Inside the barn are 3 trusses of re-used cruck timber, with tie beams and collars.</w:t>
            </w:r>
            <w:r>
              <w:rPr>
                <w:rFonts w:asciiTheme="minorHAnsi" w:hAnsiTheme="minorHAnsi" w:cstheme="minorHAnsi"/>
                <w:bCs/>
                <w:i/>
                <w:iCs/>
                <w:szCs w:val="24"/>
              </w:rPr>
              <w:t>”</w:t>
            </w:r>
          </w:p>
          <w:p w14:paraId="62370E9F" w14:textId="77777777" w:rsidR="00C0704D" w:rsidRPr="006C2BFA" w:rsidRDefault="00C0704D" w:rsidP="002272A2">
            <w:pPr>
              <w:overflowPunct/>
              <w:autoSpaceDE/>
              <w:autoSpaceDN/>
              <w:adjustRightInd/>
              <w:jc w:val="both"/>
              <w:textAlignment w:val="auto"/>
              <w:rPr>
                <w:rFonts w:ascii="Calibri" w:hAnsi="Calibri"/>
                <w:bCs/>
                <w:szCs w:val="22"/>
              </w:rPr>
            </w:pPr>
          </w:p>
        </w:tc>
      </w:tr>
      <w:tr w:rsidR="00C0704D" w:rsidRPr="00D2449B" w14:paraId="408C6380"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AA60C4E" w14:textId="022C9440" w:rsidR="002272A2" w:rsidRDefault="002272A2" w:rsidP="00E266E7">
            <w:pPr>
              <w:rPr>
                <w:rFonts w:ascii="Calibri" w:hAnsi="Calibri"/>
                <w:szCs w:val="22"/>
              </w:rPr>
            </w:pPr>
            <w:r w:rsidRPr="002272A2">
              <w:rPr>
                <w:rFonts w:ascii="Calibri" w:hAnsi="Calibri"/>
                <w:szCs w:val="22"/>
              </w:rPr>
              <w:t xml:space="preserve">The application is for Listed Building Consent for removal of the existing render including smooth rendered surrounds, door surround and quoin feature to reveal stonework, raking out joints and pointing in lime mortar. </w:t>
            </w:r>
            <w:r>
              <w:rPr>
                <w:rFonts w:ascii="Calibri" w:hAnsi="Calibri"/>
                <w:szCs w:val="22"/>
              </w:rPr>
              <w:t xml:space="preserve">This would be to the front elevation only, as noted within the submitted Heritage and Design &amp; Access Statement. </w:t>
            </w:r>
          </w:p>
          <w:p w14:paraId="7B4B4555" w14:textId="77777777" w:rsidR="002272A2" w:rsidRDefault="002272A2" w:rsidP="00E266E7">
            <w:pPr>
              <w:rPr>
                <w:rFonts w:ascii="Calibri" w:hAnsi="Calibri"/>
                <w:szCs w:val="22"/>
              </w:rPr>
            </w:pPr>
          </w:p>
          <w:p w14:paraId="1B20488F" w14:textId="2AF96780" w:rsidR="00A35061" w:rsidRPr="00D54E67" w:rsidRDefault="002272A2" w:rsidP="00E266E7">
            <w:pPr>
              <w:rPr>
                <w:rFonts w:ascii="Calibri" w:hAnsi="Calibri"/>
                <w:szCs w:val="22"/>
              </w:rPr>
            </w:pPr>
            <w:r>
              <w:rPr>
                <w:rFonts w:ascii="Calibri" w:hAnsi="Calibri"/>
                <w:szCs w:val="22"/>
              </w:rPr>
              <w:t>The front elevation of the property is pebble dashed with the</w:t>
            </w:r>
            <w:r w:rsidRPr="002272A2">
              <w:rPr>
                <w:rFonts w:ascii="Calibri" w:hAnsi="Calibri"/>
                <w:szCs w:val="22"/>
              </w:rPr>
              <w:t xml:space="preserve"> Quoins, door and window surrounds </w:t>
            </w:r>
            <w:r>
              <w:rPr>
                <w:rFonts w:ascii="Calibri" w:hAnsi="Calibri"/>
                <w:szCs w:val="22"/>
              </w:rPr>
              <w:t xml:space="preserve">being </w:t>
            </w:r>
            <w:r w:rsidRPr="002272A2">
              <w:rPr>
                <w:rFonts w:ascii="Calibri" w:hAnsi="Calibri"/>
                <w:szCs w:val="22"/>
              </w:rPr>
              <w:t xml:space="preserve">smooth faced render. The original stone quoins appear evident on the gable elevation and are assumed to be sound below the rendered front elevation. No.9 is the only property along the row that is rendered, with all other properties being of exposed stonework. </w:t>
            </w:r>
            <w:r w:rsidR="006C0B86">
              <w:rPr>
                <w:rFonts w:ascii="Calibri" w:hAnsi="Calibri"/>
                <w:szCs w:val="22"/>
              </w:rPr>
              <w:t>The Heritage and Design &amp; Access Statement also states</w:t>
            </w:r>
            <w:r w:rsidRPr="002272A2">
              <w:rPr>
                <w:rFonts w:ascii="Calibri" w:hAnsi="Calibri"/>
                <w:szCs w:val="22"/>
              </w:rPr>
              <w:t xml:space="preserve"> that no.10 is believed to have had its front elevation render removed many years ago and there is evidence of the stone window surrounds possibly being keyed to receive the render. </w:t>
            </w:r>
            <w:r w:rsidR="006C0B86">
              <w:rPr>
                <w:rFonts w:ascii="Calibri" w:hAnsi="Calibri"/>
                <w:szCs w:val="22"/>
              </w:rPr>
              <w:t xml:space="preserve">Whilst the date is not confirmed as to when the property was rendered, </w:t>
            </w:r>
            <w:r w:rsidRPr="002272A2">
              <w:rPr>
                <w:rFonts w:ascii="Calibri" w:hAnsi="Calibri"/>
                <w:szCs w:val="22"/>
              </w:rPr>
              <w:t xml:space="preserve">the Heritage, Design and Access Statement </w:t>
            </w:r>
            <w:r w:rsidR="006C0B86">
              <w:rPr>
                <w:rFonts w:ascii="Calibri" w:hAnsi="Calibri"/>
                <w:szCs w:val="22"/>
              </w:rPr>
              <w:t xml:space="preserve">states </w:t>
            </w:r>
            <w:r w:rsidRPr="002272A2">
              <w:rPr>
                <w:rFonts w:ascii="Calibri" w:hAnsi="Calibri"/>
                <w:szCs w:val="22"/>
              </w:rPr>
              <w:t xml:space="preserve">that it is failing and is a cement render which restricts the breathability of the listed fabric. </w:t>
            </w:r>
          </w:p>
        </w:tc>
      </w:tr>
      <w:tr w:rsidR="008542DE" w:rsidRPr="00D2449B" w14:paraId="2540EE5C"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4469FEEC" w:rsidR="008542DE" w:rsidRPr="0089743D" w:rsidRDefault="008542DE" w:rsidP="008542DE">
            <w:pPr>
              <w:pStyle w:val="Header"/>
              <w:tabs>
                <w:tab w:val="clear" w:pos="4153"/>
                <w:tab w:val="clear" w:pos="8306"/>
              </w:tabs>
              <w:contextualSpacing/>
              <w:jc w:val="both"/>
              <w:rPr>
                <w:rFonts w:asciiTheme="minorHAnsi" w:hAnsiTheme="minorHAnsi" w:cstheme="minorHAnsi"/>
                <w:b/>
                <w:szCs w:val="22"/>
              </w:rPr>
            </w:pPr>
            <w:r w:rsidRPr="0089743D">
              <w:rPr>
                <w:rFonts w:asciiTheme="minorHAnsi" w:hAnsiTheme="minorHAnsi" w:cstheme="minorHAnsi"/>
                <w:b/>
                <w:szCs w:val="22"/>
              </w:rPr>
              <w:t>Impact upon Listed Buildings and Setting:</w:t>
            </w:r>
          </w:p>
          <w:p w14:paraId="6A2BDA66" w14:textId="0E8E55C7" w:rsidR="008542DE" w:rsidRPr="0089743D" w:rsidRDefault="008542DE" w:rsidP="0046548C">
            <w:pPr>
              <w:contextualSpacing/>
              <w:rPr>
                <w:rFonts w:asciiTheme="minorHAnsi" w:hAnsiTheme="minorHAnsi" w:cstheme="minorHAnsi"/>
                <w:b/>
              </w:rPr>
            </w:pPr>
          </w:p>
          <w:p w14:paraId="390A0C26" w14:textId="39296AE8" w:rsidR="00CC4B47" w:rsidRPr="0089743D" w:rsidRDefault="00CC4B47" w:rsidP="00CC4B47">
            <w:pPr>
              <w:rPr>
                <w:rFonts w:asciiTheme="minorHAnsi" w:hAnsiTheme="minorHAnsi" w:cstheme="minorHAnsi"/>
                <w:szCs w:val="22"/>
              </w:rPr>
            </w:pPr>
            <w:r w:rsidRPr="0089743D">
              <w:rPr>
                <w:rFonts w:asciiTheme="minorHAnsi" w:hAnsiTheme="minorHAnsi" w:cstheme="minorHAnsi"/>
                <w:szCs w:val="22"/>
              </w:rPr>
              <w:t xml:space="preserve">The </w:t>
            </w:r>
            <w:r w:rsidR="00A623E0" w:rsidRPr="0089743D">
              <w:rPr>
                <w:rFonts w:asciiTheme="minorHAnsi" w:hAnsiTheme="minorHAnsi" w:cstheme="minorHAnsi"/>
                <w:szCs w:val="22"/>
              </w:rPr>
              <w:t xml:space="preserve">building </w:t>
            </w:r>
            <w:r w:rsidR="00C34C6C" w:rsidRPr="0089743D">
              <w:rPr>
                <w:rFonts w:asciiTheme="minorHAnsi" w:hAnsiTheme="minorHAnsi" w:cstheme="minorHAnsi"/>
                <w:szCs w:val="22"/>
              </w:rPr>
              <w:t xml:space="preserve">is </w:t>
            </w:r>
            <w:r w:rsidRPr="0089743D">
              <w:rPr>
                <w:rFonts w:asciiTheme="minorHAnsi" w:hAnsiTheme="minorHAnsi" w:cstheme="minorHAnsi"/>
                <w:szCs w:val="22"/>
              </w:rPr>
              <w:t xml:space="preserve">Grade II listed </w:t>
            </w:r>
            <w:r w:rsidR="00EF3E77" w:rsidRPr="0089743D">
              <w:rPr>
                <w:rFonts w:asciiTheme="minorHAnsi" w:hAnsiTheme="minorHAnsi" w:cstheme="minorHAnsi"/>
                <w:szCs w:val="22"/>
              </w:rPr>
              <w:t xml:space="preserve">and makes an </w:t>
            </w:r>
            <w:r w:rsidRPr="0089743D">
              <w:rPr>
                <w:rFonts w:asciiTheme="minorHAnsi" w:hAnsiTheme="minorHAnsi" w:cstheme="minorHAnsi"/>
                <w:szCs w:val="22"/>
              </w:rPr>
              <w:t xml:space="preserve">important contribution to the </w:t>
            </w:r>
            <w:r w:rsidR="00EF3E77" w:rsidRPr="0089743D">
              <w:rPr>
                <w:rFonts w:asciiTheme="minorHAnsi" w:hAnsiTheme="minorHAnsi" w:cstheme="minorHAnsi"/>
                <w:szCs w:val="22"/>
              </w:rPr>
              <w:t>Hurst Green</w:t>
            </w:r>
            <w:r w:rsidRPr="0089743D">
              <w:rPr>
                <w:rFonts w:asciiTheme="minorHAnsi" w:hAnsiTheme="minorHAnsi" w:cstheme="minorHAnsi"/>
                <w:szCs w:val="22"/>
              </w:rPr>
              <w:t xml:space="preserve"> Conservation Area</w:t>
            </w:r>
            <w:r w:rsidR="00966CAD" w:rsidRPr="0089743D">
              <w:rPr>
                <w:rFonts w:asciiTheme="minorHAnsi" w:hAnsiTheme="minorHAnsi" w:cstheme="minorHAnsi"/>
                <w:szCs w:val="22"/>
              </w:rPr>
              <w:t>.</w:t>
            </w:r>
          </w:p>
          <w:p w14:paraId="63086AD2" w14:textId="77777777" w:rsidR="00D06CAA" w:rsidRPr="0089743D" w:rsidRDefault="00D06CAA" w:rsidP="00CC4B47">
            <w:pPr>
              <w:rPr>
                <w:rFonts w:asciiTheme="minorHAnsi" w:hAnsiTheme="minorHAnsi" w:cstheme="minorHAnsi"/>
                <w:szCs w:val="22"/>
              </w:rPr>
            </w:pPr>
          </w:p>
          <w:p w14:paraId="36844805"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0BCBB692" w14:textId="77777777" w:rsidR="00D06CAA" w:rsidRPr="0089743D" w:rsidRDefault="00D06CAA" w:rsidP="00D06CAA">
            <w:pPr>
              <w:rPr>
                <w:rFonts w:asciiTheme="minorHAnsi" w:hAnsiTheme="minorHAnsi" w:cstheme="minorHAnsi"/>
                <w:szCs w:val="22"/>
              </w:rPr>
            </w:pPr>
          </w:p>
          <w:p w14:paraId="55CCE5DF" w14:textId="76DE19D0"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Key Statement EN5 states that:</w:t>
            </w:r>
          </w:p>
          <w:p w14:paraId="309B7E3E" w14:textId="77777777" w:rsidR="00D06CAA" w:rsidRPr="0089743D" w:rsidRDefault="00D06CAA" w:rsidP="00D06CAA">
            <w:pPr>
              <w:rPr>
                <w:rFonts w:asciiTheme="minorHAnsi" w:hAnsiTheme="minorHAnsi" w:cstheme="minorHAnsi"/>
                <w:szCs w:val="22"/>
              </w:rPr>
            </w:pPr>
          </w:p>
          <w:p w14:paraId="5846EF6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 xml:space="preserve">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w:t>
            </w:r>
            <w:r w:rsidRPr="0089743D">
              <w:rPr>
                <w:rFonts w:asciiTheme="minorHAnsi" w:hAnsiTheme="minorHAnsi" w:cstheme="minorHAnsi"/>
                <w:szCs w:val="22"/>
              </w:rPr>
              <w:lastRenderedPageBreak/>
              <w:t>important contribution to local character, distinctiveness and sense of place; and to wider social, cultural and environmental benefits.</w:t>
            </w:r>
          </w:p>
          <w:p w14:paraId="345A5ACB" w14:textId="77777777" w:rsidR="00D06CAA" w:rsidRPr="0089743D" w:rsidRDefault="00D06CAA" w:rsidP="00D06CAA">
            <w:pPr>
              <w:rPr>
                <w:rFonts w:asciiTheme="minorHAnsi" w:hAnsiTheme="minorHAnsi" w:cstheme="minorHAnsi"/>
                <w:szCs w:val="22"/>
              </w:rPr>
            </w:pPr>
          </w:p>
          <w:p w14:paraId="0959EF9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This will be achieved through:</w:t>
            </w:r>
          </w:p>
          <w:p w14:paraId="5A487500" w14:textId="77777777" w:rsidR="00D06CAA" w:rsidRPr="0089743D" w:rsidRDefault="00D06CAA" w:rsidP="00D06CAA">
            <w:pPr>
              <w:rPr>
                <w:rFonts w:cs="Arial"/>
                <w:szCs w:val="22"/>
              </w:rPr>
            </w:pPr>
          </w:p>
          <w:p w14:paraId="28BD6D59" w14:textId="2D366A35"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 xml:space="preserve">Recognising that the best way of ensuring the </w:t>
            </w:r>
            <w:r w:rsidR="00A35061" w:rsidRPr="0089743D">
              <w:rPr>
                <w:rFonts w:asciiTheme="minorHAnsi" w:hAnsiTheme="minorHAnsi" w:cstheme="minorHAnsi"/>
                <w:szCs w:val="22"/>
              </w:rPr>
              <w:t>long-term</w:t>
            </w:r>
            <w:r w:rsidRPr="0089743D">
              <w:rPr>
                <w:rFonts w:asciiTheme="minorHAnsi" w:hAnsiTheme="minorHAnsi" w:cstheme="minorHAnsi"/>
                <w:szCs w:val="22"/>
              </w:rPr>
              <w:t xml:space="preserve"> protection of heritage assets is to ensure a viable use that optimises opportunities for sustaining and enhancing its significance.</w:t>
            </w:r>
          </w:p>
          <w:p w14:paraId="0618BBD6" w14:textId="257B7D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Keeping Conservation Area Appraisals under review to ensure that any development proposals respect and safeguard the character, appearance and significance of the area.</w:t>
            </w:r>
          </w:p>
          <w:p w14:paraId="7DEAC5AC" w14:textId="39871E2D"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Considering any development proposals which may impact on a heritage asset or their setting through seeking benefits that conserve and enhance their significance and avoids any substantial harm to the heritage asset.</w:t>
            </w:r>
          </w:p>
          <w:p w14:paraId="32AE5BE2" w14:textId="1E9A29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Requiring all development proposals to make a positive contribution to local distinctiveness/sense of place.</w:t>
            </w:r>
          </w:p>
          <w:p w14:paraId="6607C571" w14:textId="2D5FC17E"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The consideration of Article 4 Directions to restrict permitted development rights where the exercise of such rights would harm the historic environment.</w:t>
            </w:r>
          </w:p>
          <w:p w14:paraId="532E5FCF" w14:textId="77777777" w:rsidR="00D06CAA" w:rsidRPr="0089743D" w:rsidRDefault="00D06CAA" w:rsidP="00D06CAA">
            <w:pPr>
              <w:rPr>
                <w:rFonts w:asciiTheme="minorHAnsi" w:hAnsiTheme="minorHAnsi" w:cstheme="minorHAnsi"/>
                <w:szCs w:val="22"/>
              </w:rPr>
            </w:pPr>
          </w:p>
          <w:p w14:paraId="1E7F2D48" w14:textId="77C7DD12"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With Policy DME4 stating, in respect of development within conservation areas or those affecting the listed buildings or their setting, that development will be assessed on the following basis:</w:t>
            </w:r>
          </w:p>
          <w:p w14:paraId="3E059425" w14:textId="77777777" w:rsidR="00D06CAA" w:rsidRPr="0089743D" w:rsidRDefault="00D06CAA" w:rsidP="00D06CAA">
            <w:pPr>
              <w:rPr>
                <w:rFonts w:cs="Arial"/>
                <w:szCs w:val="22"/>
              </w:rPr>
            </w:pPr>
          </w:p>
          <w:p w14:paraId="1A8D98D1" w14:textId="77777777" w:rsidR="00D06CAA" w:rsidRPr="0089743D" w:rsidRDefault="00D06CAA" w:rsidP="00D06CAA">
            <w:pPr>
              <w:jc w:val="both"/>
              <w:rPr>
                <w:rFonts w:asciiTheme="minorHAnsi" w:hAnsiTheme="minorHAnsi" w:cstheme="minorHAnsi"/>
                <w:b/>
                <w:bCs/>
                <w:i/>
                <w:iCs/>
                <w:szCs w:val="22"/>
              </w:rPr>
            </w:pPr>
            <w:r w:rsidRPr="0089743D">
              <w:rPr>
                <w:rFonts w:asciiTheme="minorHAnsi" w:hAnsiTheme="minorHAnsi" w:cstheme="minorHAnsi"/>
                <w:b/>
                <w:bCs/>
                <w:i/>
                <w:iCs/>
                <w:szCs w:val="22"/>
              </w:rPr>
              <w:t>2: LISTED BUILDINGS AND OTHER BUILDINGS OF SIGNIFICANT HERITAGE INTEREST</w:t>
            </w:r>
          </w:p>
          <w:p w14:paraId="452C4D23" w14:textId="77777777" w:rsidR="00D06CAA" w:rsidRPr="0089743D" w:rsidRDefault="00D06CAA" w:rsidP="00D06CAA">
            <w:pPr>
              <w:jc w:val="both"/>
              <w:rPr>
                <w:rFonts w:asciiTheme="minorHAnsi" w:hAnsiTheme="minorHAnsi" w:cstheme="minorHAnsi"/>
                <w:i/>
                <w:iCs/>
                <w:szCs w:val="22"/>
              </w:rPr>
            </w:pPr>
          </w:p>
          <w:p w14:paraId="4F980EEE" w14:textId="77777777" w:rsidR="00D06CAA" w:rsidRPr="0089743D" w:rsidRDefault="00D06CAA" w:rsidP="00D06CAA">
            <w:pPr>
              <w:jc w:val="both"/>
              <w:rPr>
                <w:rFonts w:asciiTheme="minorHAnsi" w:hAnsiTheme="minorHAnsi" w:cstheme="minorHAnsi"/>
                <w:i/>
                <w:iCs/>
                <w:szCs w:val="22"/>
              </w:rPr>
            </w:pPr>
            <w:r w:rsidRPr="0089743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781AAC9" w14:textId="77777777" w:rsidR="00D06CAA" w:rsidRPr="0089743D" w:rsidRDefault="00D06CAA" w:rsidP="00D06CAA">
            <w:pPr>
              <w:contextualSpacing/>
              <w:rPr>
                <w:rFonts w:ascii="Calibri" w:hAnsi="Calibri"/>
                <w:b/>
              </w:rPr>
            </w:pPr>
          </w:p>
          <w:p w14:paraId="772F15CC" w14:textId="77777777" w:rsidR="00D06CAA" w:rsidRPr="0089743D" w:rsidRDefault="00D06CAA" w:rsidP="00D06CAA">
            <w:pPr>
              <w:contextualSpacing/>
              <w:jc w:val="both"/>
              <w:rPr>
                <w:rFonts w:ascii="Calibri" w:hAnsi="Calibri"/>
                <w:b/>
                <w:u w:val="single"/>
              </w:rPr>
            </w:pPr>
            <w:r w:rsidRPr="0089743D">
              <w:rPr>
                <w:rFonts w:ascii="Calibri" w:hAnsi="Calibri"/>
                <w:b/>
                <w:u w:val="single"/>
              </w:rPr>
              <w:t>Planning (Listed Building and Conservation Areas) Act 1990:</w:t>
            </w:r>
          </w:p>
          <w:p w14:paraId="6464296B" w14:textId="77777777" w:rsidR="00D06CAA" w:rsidRPr="0089743D" w:rsidRDefault="00D06CAA" w:rsidP="00D06CAA">
            <w:pPr>
              <w:contextualSpacing/>
              <w:jc w:val="both"/>
              <w:rPr>
                <w:rFonts w:ascii="Calibri" w:hAnsi="Calibri"/>
                <w:b/>
              </w:rPr>
            </w:pPr>
          </w:p>
          <w:p w14:paraId="7195E6E1" w14:textId="77777777" w:rsidR="00D06CAA" w:rsidRPr="0089743D" w:rsidRDefault="00D06CAA" w:rsidP="00D06CAA">
            <w:pPr>
              <w:contextualSpacing/>
              <w:jc w:val="both"/>
              <w:rPr>
                <w:rFonts w:ascii="Calibri" w:hAnsi="Calibri"/>
                <w:bCs/>
              </w:rPr>
            </w:pPr>
            <w:r w:rsidRPr="0089743D">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1EC72CFE" w14:textId="77777777" w:rsidR="00D06CAA" w:rsidRPr="0089743D" w:rsidRDefault="00D06CAA" w:rsidP="00D06CAA">
            <w:pPr>
              <w:contextualSpacing/>
              <w:jc w:val="both"/>
              <w:rPr>
                <w:rFonts w:ascii="Calibri" w:hAnsi="Calibri"/>
                <w:bCs/>
              </w:rPr>
            </w:pPr>
          </w:p>
          <w:p w14:paraId="537CDCB1" w14:textId="0A9CB457" w:rsidR="00D06CAA" w:rsidRPr="0089743D" w:rsidRDefault="00D06CAA" w:rsidP="00B0438F">
            <w:pPr>
              <w:rPr>
                <w:rFonts w:ascii="Calibri" w:hAnsi="Calibri"/>
                <w:bCs/>
              </w:rPr>
            </w:pPr>
            <w:r w:rsidRPr="0089743D">
              <w:rPr>
                <w:rFonts w:ascii="Calibri" w:hAnsi="Calibri"/>
                <w:bCs/>
              </w:rPr>
              <w:t>The principle statutory duty under the Planning (Listed Building and Conservation Areas) Act 1990 (as amended by s.58B (1) of Levelling-up and Regeneration Act 2023) is to preserve or enhance the special</w:t>
            </w:r>
            <w:r w:rsidR="00B0438F" w:rsidRPr="0089743D">
              <w:rPr>
                <w:rFonts w:ascii="Calibri" w:hAnsi="Calibri"/>
                <w:bCs/>
              </w:rPr>
              <w:t xml:space="preserve"> </w:t>
            </w:r>
          </w:p>
          <w:p w14:paraId="27A1ADD5" w14:textId="77777777" w:rsidR="00D06CAA" w:rsidRPr="0089743D" w:rsidRDefault="00D06CAA" w:rsidP="00D06CAA">
            <w:pPr>
              <w:contextualSpacing/>
              <w:jc w:val="both"/>
              <w:rPr>
                <w:rFonts w:ascii="Calibri" w:hAnsi="Calibri"/>
                <w:bCs/>
              </w:rPr>
            </w:pPr>
            <w:r w:rsidRPr="0089743D">
              <w:rPr>
                <w:rFonts w:ascii="Calibri" w:hAnsi="Calibri"/>
                <w:bCs/>
              </w:rPr>
              <w:t xml:space="preserve">character of heritage assets, including their setting.  As such, in determining applications that affect designated heritage assets, the authority must consider the duties contained within the </w:t>
            </w:r>
            <w:proofErr w:type="gramStart"/>
            <w:r w:rsidRPr="0089743D">
              <w:rPr>
                <w:rFonts w:ascii="Calibri" w:hAnsi="Calibri"/>
                <w:bCs/>
              </w:rPr>
              <w:t>principle</w:t>
            </w:r>
            <w:proofErr w:type="gramEnd"/>
            <w:r w:rsidRPr="0089743D">
              <w:rPr>
                <w:rFonts w:ascii="Calibri" w:hAnsi="Calibri"/>
                <w:bCs/>
              </w:rPr>
              <w:t xml:space="preserve"> Act which states the </w:t>
            </w:r>
            <w:proofErr w:type="gramStart"/>
            <w:r w:rsidRPr="0089743D">
              <w:rPr>
                <w:rFonts w:ascii="Calibri" w:hAnsi="Calibri"/>
                <w:bCs/>
              </w:rPr>
              <w:t>following;</w:t>
            </w:r>
            <w:proofErr w:type="gramEnd"/>
          </w:p>
          <w:p w14:paraId="0096886B" w14:textId="77777777" w:rsidR="00D06CAA" w:rsidRPr="0089743D" w:rsidRDefault="00D06CAA" w:rsidP="00D06CAA">
            <w:pPr>
              <w:contextualSpacing/>
              <w:jc w:val="both"/>
              <w:rPr>
                <w:rFonts w:ascii="Calibri" w:hAnsi="Calibri"/>
                <w:b/>
              </w:rPr>
            </w:pPr>
          </w:p>
          <w:p w14:paraId="50D86E39" w14:textId="77777777" w:rsidR="00D06CAA" w:rsidRPr="0089743D" w:rsidRDefault="00D06CAA" w:rsidP="00D06CAA">
            <w:pPr>
              <w:contextualSpacing/>
              <w:jc w:val="both"/>
              <w:rPr>
                <w:rFonts w:ascii="Calibri" w:hAnsi="Calibri"/>
                <w:b/>
              </w:rPr>
            </w:pPr>
            <w:r w:rsidRPr="0089743D">
              <w:rPr>
                <w:rFonts w:ascii="Calibri" w:hAnsi="Calibri"/>
                <w:b/>
              </w:rPr>
              <w:t>Listed buildings - Section 16 (2) (as amended by s.58B of Levelling-up and Regeneration Act 2023):</w:t>
            </w:r>
          </w:p>
          <w:p w14:paraId="1A096F3B" w14:textId="77777777" w:rsidR="00D06CAA" w:rsidRPr="0089743D" w:rsidRDefault="00D06CAA" w:rsidP="00D06CAA">
            <w:pPr>
              <w:contextualSpacing/>
              <w:jc w:val="both"/>
              <w:rPr>
                <w:rFonts w:ascii="Calibri" w:hAnsi="Calibri"/>
                <w:bCs/>
              </w:rPr>
            </w:pPr>
            <w:r w:rsidRPr="0089743D">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6FCDAD6" w14:textId="77777777" w:rsidR="00D06CAA" w:rsidRPr="0089743D" w:rsidRDefault="00D06CAA" w:rsidP="00D06CAA">
            <w:pPr>
              <w:contextualSpacing/>
              <w:jc w:val="both"/>
              <w:rPr>
                <w:rFonts w:ascii="Calibri" w:hAnsi="Calibri"/>
                <w:bCs/>
              </w:rPr>
            </w:pPr>
          </w:p>
          <w:p w14:paraId="5D642A9E" w14:textId="07CC63F6" w:rsidR="00D06CAA" w:rsidRPr="0089743D" w:rsidRDefault="00D06CAA" w:rsidP="00D06CAA">
            <w:pPr>
              <w:contextualSpacing/>
              <w:jc w:val="both"/>
              <w:rPr>
                <w:rFonts w:ascii="Calibri" w:hAnsi="Calibri"/>
                <w:b/>
                <w:u w:val="single"/>
              </w:rPr>
            </w:pPr>
            <w:r w:rsidRPr="0089743D">
              <w:rPr>
                <w:rFonts w:ascii="Calibri" w:hAnsi="Calibri"/>
                <w:b/>
                <w:u w:val="single"/>
              </w:rPr>
              <w:t>National Planning Policy Framework (December 202</w:t>
            </w:r>
            <w:r w:rsidR="00F168F4" w:rsidRPr="0089743D">
              <w:rPr>
                <w:rFonts w:ascii="Calibri" w:hAnsi="Calibri"/>
                <w:b/>
                <w:u w:val="single"/>
              </w:rPr>
              <w:t>4</w:t>
            </w:r>
            <w:r w:rsidRPr="0089743D">
              <w:rPr>
                <w:rFonts w:ascii="Calibri" w:hAnsi="Calibri"/>
                <w:b/>
                <w:u w:val="single"/>
              </w:rPr>
              <w:t>):</w:t>
            </w:r>
          </w:p>
          <w:p w14:paraId="66C3D85F" w14:textId="77777777" w:rsidR="00D06CAA" w:rsidRPr="0089743D" w:rsidRDefault="00D06CAA" w:rsidP="00D06CAA">
            <w:pPr>
              <w:contextualSpacing/>
              <w:jc w:val="both"/>
              <w:rPr>
                <w:rFonts w:ascii="Calibri" w:hAnsi="Calibri"/>
                <w:bCs/>
              </w:rPr>
            </w:pPr>
          </w:p>
          <w:p w14:paraId="0250A0B6" w14:textId="77777777" w:rsidR="00D06CAA" w:rsidRPr="0089743D" w:rsidRDefault="00D06CAA" w:rsidP="00D06CAA">
            <w:pPr>
              <w:contextualSpacing/>
              <w:jc w:val="both"/>
              <w:rPr>
                <w:rFonts w:ascii="Calibri" w:hAnsi="Calibri"/>
                <w:bCs/>
                <w:i/>
                <w:iCs/>
              </w:rPr>
            </w:pPr>
            <w:r w:rsidRPr="0089743D">
              <w:rPr>
                <w:rFonts w:ascii="Calibri" w:hAnsi="Calibri"/>
                <w:bCs/>
              </w:rPr>
              <w:t>The National planning Policy Framework (NPPF) sets out further duties in respect of determining proposals that affect heritage assets stating that ‘i</w:t>
            </w:r>
            <w:r w:rsidRPr="0089743D">
              <w:rPr>
                <w:rFonts w:ascii="Calibri" w:hAnsi="Calibri"/>
                <w:bCs/>
                <w:i/>
                <w:iCs/>
              </w:rPr>
              <w:t xml:space="preserve">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w:t>
            </w:r>
            <w:r w:rsidRPr="0089743D">
              <w:rPr>
                <w:rFonts w:ascii="Calibri" w:hAnsi="Calibri"/>
                <w:bCs/>
                <w:i/>
                <w:iCs/>
              </w:rPr>
              <w:lastRenderedPageBreak/>
              <w:t>heritage assets with archaeological interest, local planning authorities should require developers to submit an appropriate desk-based assessment and, where necessary, a field evaluation’.</w:t>
            </w:r>
          </w:p>
          <w:p w14:paraId="6A3224AE" w14:textId="77777777" w:rsidR="00D06CAA" w:rsidRPr="0089743D" w:rsidRDefault="00D06CAA" w:rsidP="00D06CAA">
            <w:pPr>
              <w:contextualSpacing/>
              <w:rPr>
                <w:rFonts w:ascii="Calibri" w:hAnsi="Calibri"/>
                <w:b/>
              </w:rPr>
            </w:pPr>
          </w:p>
          <w:p w14:paraId="20B61AC1" w14:textId="7883ECC5" w:rsidR="00D06CAA" w:rsidRPr="0089743D" w:rsidRDefault="00D06CAA" w:rsidP="00D06CAA">
            <w:pPr>
              <w:contextualSpacing/>
              <w:rPr>
                <w:rFonts w:ascii="Calibri" w:hAnsi="Calibri"/>
                <w:bCs/>
              </w:rPr>
            </w:pPr>
            <w:r w:rsidRPr="0089743D">
              <w:rPr>
                <w:rFonts w:ascii="Calibri" w:hAnsi="Calibri"/>
                <w:bCs/>
              </w:rPr>
              <w:t>The Framework sets out further duties in respect of considering potential impacts upon designated heritage assets with Paragraphs 20</w:t>
            </w:r>
            <w:r w:rsidR="00F168F4" w:rsidRPr="0089743D">
              <w:rPr>
                <w:rFonts w:ascii="Calibri" w:hAnsi="Calibri"/>
                <w:bCs/>
              </w:rPr>
              <w:t>7</w:t>
            </w:r>
            <w:r w:rsidRPr="0089743D">
              <w:rPr>
                <w:rFonts w:ascii="Calibri" w:hAnsi="Calibri"/>
                <w:bCs/>
              </w:rPr>
              <w:t xml:space="preserve"> – 2</w:t>
            </w:r>
            <w:r w:rsidR="00F168F4" w:rsidRPr="0089743D">
              <w:rPr>
                <w:rFonts w:ascii="Calibri" w:hAnsi="Calibri"/>
                <w:bCs/>
              </w:rPr>
              <w:t>21</w:t>
            </w:r>
            <w:r w:rsidRPr="0089743D">
              <w:rPr>
                <w:rFonts w:ascii="Calibri" w:hAnsi="Calibri"/>
                <w:bCs/>
              </w:rPr>
              <w:t xml:space="preserve"> reading as follows:</w:t>
            </w:r>
          </w:p>
          <w:p w14:paraId="052D2C0B" w14:textId="77777777" w:rsidR="00D06CAA" w:rsidRPr="0089743D" w:rsidRDefault="00D06CAA" w:rsidP="00D06CAA">
            <w:pPr>
              <w:contextualSpacing/>
              <w:rPr>
                <w:rFonts w:ascii="Calibri" w:hAnsi="Calibri"/>
                <w:b/>
              </w:rPr>
            </w:pPr>
          </w:p>
          <w:p w14:paraId="465C653B" w14:textId="60DCDD1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12</w:t>
            </w:r>
            <w:r w:rsidRPr="0089743D">
              <w:rPr>
                <w:rFonts w:asciiTheme="minorHAnsi" w:hAnsiTheme="minorHAnsi" w:cstheme="minorHAnsi"/>
                <w:i/>
                <w:iCs/>
                <w:color w:val="auto"/>
                <w:sz w:val="22"/>
                <w:szCs w:val="22"/>
              </w:rPr>
              <w:t xml:space="preserve">: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61A463C5" w14:textId="77777777" w:rsidR="00D06CAA" w:rsidRPr="0089743D" w:rsidRDefault="00D06CAA" w:rsidP="00D06CAA">
            <w:pPr>
              <w:pStyle w:val="Default"/>
              <w:jc w:val="both"/>
              <w:rPr>
                <w:rFonts w:asciiTheme="minorHAnsi" w:hAnsiTheme="minorHAnsi" w:cstheme="minorHAnsi"/>
                <w:i/>
                <w:iCs/>
                <w:color w:val="auto"/>
                <w:sz w:val="22"/>
                <w:szCs w:val="22"/>
              </w:rPr>
            </w:pPr>
          </w:p>
          <w:p w14:paraId="2A2DA9A6" w14:textId="312F9E2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13</w:t>
            </w:r>
            <w:r w:rsidRPr="0089743D">
              <w:rPr>
                <w:rFonts w:asciiTheme="minorHAnsi" w:hAnsiTheme="minorHAnsi" w:cstheme="minorHAnsi"/>
                <w:i/>
                <w:iCs/>
                <w:color w:val="auto"/>
                <w:sz w:val="22"/>
                <w:szCs w:val="22"/>
              </w:rPr>
              <w:t xml:space="preserve">: Any harm to, or loss of, the significance of a designated heritage asset (from its alteration or destruction, or from development within its setting), should require clear and convincing justification. Substantial harm to or loss of: </w:t>
            </w:r>
          </w:p>
          <w:p w14:paraId="34D21B19" w14:textId="77777777" w:rsidR="00D06CAA" w:rsidRPr="0089743D" w:rsidRDefault="00D06CAA" w:rsidP="00D06CAA">
            <w:pPr>
              <w:pStyle w:val="Default"/>
              <w:jc w:val="both"/>
              <w:rPr>
                <w:rFonts w:asciiTheme="minorHAnsi" w:hAnsiTheme="minorHAnsi" w:cstheme="minorHAnsi"/>
                <w:i/>
                <w:iCs/>
                <w:color w:val="auto"/>
                <w:sz w:val="22"/>
                <w:szCs w:val="22"/>
              </w:rPr>
            </w:pPr>
          </w:p>
          <w:p w14:paraId="7B666718"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grade II listed buildings, or grade II registered parks or gardens, should be </w:t>
            </w:r>
            <w:proofErr w:type="gramStart"/>
            <w:r w:rsidRPr="0089743D">
              <w:rPr>
                <w:rFonts w:asciiTheme="minorHAnsi" w:hAnsiTheme="minorHAnsi" w:cstheme="minorHAnsi"/>
                <w:i/>
                <w:iCs/>
                <w:color w:val="auto"/>
                <w:sz w:val="22"/>
                <w:szCs w:val="22"/>
              </w:rPr>
              <w:t>exceptional;</w:t>
            </w:r>
            <w:proofErr w:type="gramEnd"/>
            <w:r w:rsidRPr="0089743D">
              <w:rPr>
                <w:rFonts w:asciiTheme="minorHAnsi" w:hAnsiTheme="minorHAnsi" w:cstheme="minorHAnsi"/>
                <w:i/>
                <w:iCs/>
                <w:color w:val="auto"/>
                <w:sz w:val="22"/>
                <w:szCs w:val="22"/>
              </w:rPr>
              <w:t xml:space="preserve"> </w:t>
            </w:r>
          </w:p>
          <w:p w14:paraId="228DFBD5"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3C02D473" w14:textId="77777777" w:rsidR="00D06CAA" w:rsidRPr="0089743D" w:rsidRDefault="00D06CAA" w:rsidP="00D06CAA">
            <w:pPr>
              <w:pStyle w:val="Default"/>
              <w:jc w:val="both"/>
              <w:rPr>
                <w:rFonts w:asciiTheme="minorHAnsi" w:hAnsiTheme="minorHAnsi" w:cstheme="minorHAnsi"/>
                <w:i/>
                <w:iCs/>
                <w:color w:val="auto"/>
                <w:sz w:val="22"/>
                <w:szCs w:val="22"/>
              </w:rPr>
            </w:pPr>
          </w:p>
          <w:p w14:paraId="4B9C4333" w14:textId="427B660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14</w:t>
            </w:r>
            <w:r w:rsidRPr="0089743D">
              <w:rPr>
                <w:rFonts w:asciiTheme="minorHAnsi" w:hAnsiTheme="minorHAnsi" w:cstheme="minorHAnsi"/>
                <w:i/>
                <w:iCs/>
                <w:color w:val="auto"/>
                <w:sz w:val="22"/>
                <w:szCs w:val="22"/>
              </w:rPr>
              <w:t xml:space="preserve">: 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w:t>
            </w:r>
            <w:proofErr w:type="gramStart"/>
            <w:r w:rsidRPr="0089743D">
              <w:rPr>
                <w:rFonts w:asciiTheme="minorHAnsi" w:hAnsiTheme="minorHAnsi" w:cstheme="minorHAnsi"/>
                <w:i/>
                <w:iCs/>
                <w:color w:val="auto"/>
                <w:sz w:val="22"/>
                <w:szCs w:val="22"/>
              </w:rPr>
              <w:t>all of</w:t>
            </w:r>
            <w:proofErr w:type="gramEnd"/>
            <w:r w:rsidRPr="0089743D">
              <w:rPr>
                <w:rFonts w:asciiTheme="minorHAnsi" w:hAnsiTheme="minorHAnsi" w:cstheme="minorHAnsi"/>
                <w:i/>
                <w:iCs/>
                <w:color w:val="auto"/>
                <w:sz w:val="22"/>
                <w:szCs w:val="22"/>
              </w:rPr>
              <w:t xml:space="preserve"> the following apply: </w:t>
            </w:r>
          </w:p>
          <w:p w14:paraId="64CA76D7" w14:textId="77777777" w:rsidR="00D06CAA" w:rsidRPr="0089743D" w:rsidRDefault="00D06CAA" w:rsidP="00D06CAA">
            <w:pPr>
              <w:pStyle w:val="Default"/>
              <w:jc w:val="both"/>
              <w:rPr>
                <w:rFonts w:asciiTheme="minorHAnsi" w:hAnsiTheme="minorHAnsi" w:cstheme="minorHAnsi"/>
                <w:i/>
                <w:iCs/>
                <w:color w:val="auto"/>
                <w:sz w:val="22"/>
                <w:szCs w:val="22"/>
              </w:rPr>
            </w:pPr>
          </w:p>
          <w:p w14:paraId="463E0C91"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a)</w:t>
            </w:r>
            <w:r w:rsidRPr="0089743D">
              <w:rPr>
                <w:rFonts w:asciiTheme="minorHAnsi" w:hAnsiTheme="minorHAnsi" w:cstheme="minorHAnsi"/>
                <w:i/>
                <w:iCs/>
                <w:color w:val="auto"/>
                <w:sz w:val="22"/>
                <w:szCs w:val="22"/>
              </w:rPr>
              <w:tab/>
              <w:t xml:space="preserve">the nature of the heritage asset prevents all reasonable uses of the site; and </w:t>
            </w:r>
          </w:p>
          <w:p w14:paraId="5574F72F"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b)</w:t>
            </w:r>
            <w:r w:rsidRPr="0089743D">
              <w:rPr>
                <w:rFonts w:asciiTheme="minorHAnsi" w:hAnsiTheme="minorHAnsi" w:cstheme="minorHAnsi"/>
                <w:i/>
                <w:iCs/>
                <w:color w:val="auto"/>
                <w:sz w:val="22"/>
                <w:szCs w:val="22"/>
              </w:rPr>
              <w:tab/>
              <w:t xml:space="preserve">no viable use of the heritage asset itself can be found in the medium term through appropriate marketing that will enable its conservation; and </w:t>
            </w:r>
          </w:p>
          <w:p w14:paraId="033B9E1E"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c)</w:t>
            </w:r>
            <w:r w:rsidRPr="0089743D">
              <w:rPr>
                <w:rFonts w:asciiTheme="minorHAnsi" w:hAnsiTheme="minorHAnsi" w:cstheme="minorHAnsi"/>
                <w:i/>
                <w:iCs/>
                <w:color w:val="auto"/>
                <w:sz w:val="22"/>
                <w:szCs w:val="22"/>
              </w:rPr>
              <w:tab/>
              <w:t xml:space="preserve">conservation by grant-funding or some form of not for profit, charitable or public ownership is demonstrably not possible; and </w:t>
            </w:r>
          </w:p>
          <w:p w14:paraId="212DA8C9"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d)</w:t>
            </w:r>
            <w:r w:rsidRPr="0089743D">
              <w:rPr>
                <w:rFonts w:asciiTheme="minorHAnsi" w:hAnsiTheme="minorHAnsi" w:cstheme="minorHAnsi"/>
                <w:i/>
                <w:iCs/>
                <w:color w:val="auto"/>
                <w:sz w:val="22"/>
                <w:szCs w:val="22"/>
              </w:rPr>
              <w:tab/>
              <w:t xml:space="preserve">the harm or loss is outweighed by the benefit of bringing the site back into use. </w:t>
            </w:r>
          </w:p>
          <w:p w14:paraId="6FB0F039" w14:textId="77777777" w:rsidR="00D06CAA" w:rsidRPr="0089743D" w:rsidRDefault="00D06CAA" w:rsidP="00D06CAA">
            <w:pPr>
              <w:pStyle w:val="Default"/>
              <w:jc w:val="both"/>
              <w:rPr>
                <w:rFonts w:asciiTheme="minorHAnsi" w:hAnsiTheme="minorHAnsi" w:cstheme="minorHAnsi"/>
                <w:i/>
                <w:iCs/>
                <w:color w:val="auto"/>
                <w:sz w:val="22"/>
                <w:szCs w:val="22"/>
              </w:rPr>
            </w:pPr>
          </w:p>
          <w:p w14:paraId="07F74A42" w14:textId="4A997B4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15</w:t>
            </w:r>
            <w:r w:rsidRPr="0089743D">
              <w:rPr>
                <w:rFonts w:asciiTheme="minorHAnsi" w:hAnsiTheme="minorHAnsi" w:cstheme="minorHAnsi"/>
                <w:i/>
                <w:iCs/>
                <w:color w:val="auto"/>
                <w:sz w:val="22"/>
                <w:szCs w:val="22"/>
              </w:rPr>
              <w:t xml:space="preserve">: Where a development proposal will lead to less than substantial harm to the significance of a designated heritage asset, this harm should be weighed against the public benefits of the proposal including, where appropriate, securing its optimum viable use. </w:t>
            </w:r>
          </w:p>
          <w:p w14:paraId="34E86F43" w14:textId="77777777" w:rsidR="00D06CAA" w:rsidRPr="0089743D" w:rsidRDefault="00D06CAA" w:rsidP="00D06CAA">
            <w:pPr>
              <w:pStyle w:val="Default"/>
              <w:jc w:val="both"/>
              <w:rPr>
                <w:rFonts w:asciiTheme="minorHAnsi" w:hAnsiTheme="minorHAnsi" w:cstheme="minorHAnsi"/>
                <w:i/>
                <w:iCs/>
                <w:color w:val="auto"/>
                <w:sz w:val="22"/>
                <w:szCs w:val="22"/>
              </w:rPr>
            </w:pPr>
          </w:p>
          <w:p w14:paraId="47AB9F4A" w14:textId="7B6631C9"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A065BB" w:rsidRPr="0089743D">
              <w:rPr>
                <w:rFonts w:asciiTheme="minorHAnsi" w:hAnsiTheme="minorHAnsi" w:cstheme="minorHAnsi"/>
                <w:i/>
                <w:iCs/>
                <w:color w:val="auto"/>
                <w:sz w:val="22"/>
                <w:szCs w:val="22"/>
              </w:rPr>
              <w:t>16</w:t>
            </w:r>
            <w:r w:rsidRPr="0089743D">
              <w:rPr>
                <w:rFonts w:asciiTheme="minorHAnsi" w:hAnsiTheme="minorHAnsi" w:cstheme="minorHAnsi"/>
                <w:i/>
                <w:iCs/>
                <w:color w:val="auto"/>
                <w:sz w:val="22"/>
                <w:szCs w:val="22"/>
              </w:rPr>
              <w:t xml:space="preserve">: </w:t>
            </w:r>
            <w:r w:rsidR="00A065BB" w:rsidRPr="0089743D">
              <w:rPr>
                <w:rFonts w:asciiTheme="minorHAnsi" w:hAnsiTheme="minorHAnsi" w:cstheme="minorHAnsi"/>
                <w:i/>
                <w:iCs/>
                <w:color w:val="auto"/>
                <w:sz w:val="22"/>
                <w:szCs w:val="22"/>
              </w:rPr>
              <w:t xml:space="preserve">The effect of an application on the significance of a non-designated heritage asset should be </w:t>
            </w:r>
            <w:proofErr w:type="gramStart"/>
            <w:r w:rsidR="00A065BB" w:rsidRPr="0089743D">
              <w:rPr>
                <w:rFonts w:asciiTheme="minorHAnsi" w:hAnsiTheme="minorHAnsi" w:cstheme="minorHAnsi"/>
                <w:i/>
                <w:iCs/>
                <w:color w:val="auto"/>
                <w:sz w:val="22"/>
                <w:szCs w:val="22"/>
              </w:rPr>
              <w:t>taken into account</w:t>
            </w:r>
            <w:proofErr w:type="gramEnd"/>
            <w:r w:rsidR="00A065BB" w:rsidRPr="0089743D">
              <w:rPr>
                <w:rFonts w:asciiTheme="minorHAnsi" w:hAnsiTheme="minorHAnsi" w:cstheme="minorHAnsi"/>
                <w:i/>
                <w:iCs/>
                <w:color w:val="auto"/>
                <w:sz w:val="22"/>
                <w:szCs w:val="22"/>
              </w:rPr>
              <w:t xml:space="preserve"> in determining the application. In weighing applications that directly or indirectly affect non-designated heritage assets, a balanced judgement will be required having regard to the scale of any harm or loss and the significance of the heritage asset. </w:t>
            </w:r>
          </w:p>
          <w:p w14:paraId="7A4914EC" w14:textId="77777777" w:rsidR="00A065BB" w:rsidRPr="0089743D" w:rsidRDefault="00A065BB" w:rsidP="00D06CAA">
            <w:pPr>
              <w:pStyle w:val="Default"/>
              <w:jc w:val="both"/>
              <w:rPr>
                <w:rFonts w:asciiTheme="minorHAnsi" w:hAnsiTheme="minorHAnsi" w:cstheme="minorHAnsi"/>
                <w:i/>
                <w:iCs/>
                <w:color w:val="auto"/>
                <w:sz w:val="22"/>
                <w:szCs w:val="22"/>
              </w:rPr>
            </w:pPr>
          </w:p>
          <w:p w14:paraId="1C4A0A1F" w14:textId="43110BE8"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7</w:t>
            </w:r>
            <w:r w:rsidRPr="0089743D">
              <w:rPr>
                <w:rFonts w:asciiTheme="minorHAnsi" w:hAnsiTheme="minorHAnsi" w:cstheme="minorHAnsi"/>
                <w:i/>
                <w:iCs/>
                <w:color w:val="auto"/>
                <w:sz w:val="22"/>
                <w:szCs w:val="22"/>
              </w:rPr>
              <w:t xml:space="preserve">: Local planning authorities should not permit the loss of the whole or part of a heritage asset without taking all reasonable steps to ensure the new development will proceed after the loss has occurred. </w:t>
            </w:r>
          </w:p>
          <w:p w14:paraId="5F730F91" w14:textId="77777777" w:rsidR="00D06CAA" w:rsidRPr="0089743D" w:rsidRDefault="00D06CAA" w:rsidP="00D06CAA">
            <w:pPr>
              <w:pStyle w:val="Default"/>
              <w:jc w:val="both"/>
              <w:rPr>
                <w:rFonts w:asciiTheme="minorHAnsi" w:hAnsiTheme="minorHAnsi" w:cstheme="minorHAnsi"/>
                <w:i/>
                <w:iCs/>
                <w:color w:val="auto"/>
                <w:sz w:val="22"/>
                <w:szCs w:val="22"/>
              </w:rPr>
            </w:pPr>
          </w:p>
          <w:p w14:paraId="2EB2F1E0" w14:textId="0086121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8</w:t>
            </w:r>
            <w:r w:rsidRPr="0089743D">
              <w:rPr>
                <w:rFonts w:asciiTheme="minorHAnsi" w:hAnsiTheme="minorHAnsi" w:cstheme="minorHAnsi"/>
                <w:i/>
                <w:iCs/>
                <w:color w:val="auto"/>
                <w:sz w:val="22"/>
                <w:szCs w:val="22"/>
              </w:rPr>
              <w:t xml:space="preserve">: 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21F5E1AA" w14:textId="77777777" w:rsidR="00D06CAA" w:rsidRPr="0089743D" w:rsidRDefault="00D06CAA" w:rsidP="00D06CAA">
            <w:pPr>
              <w:pStyle w:val="Default"/>
              <w:jc w:val="both"/>
              <w:rPr>
                <w:rFonts w:asciiTheme="minorHAnsi" w:hAnsiTheme="minorHAnsi" w:cstheme="minorHAnsi"/>
                <w:i/>
                <w:iCs/>
                <w:color w:val="auto"/>
                <w:sz w:val="22"/>
                <w:szCs w:val="22"/>
              </w:rPr>
            </w:pPr>
          </w:p>
          <w:p w14:paraId="337389F8" w14:textId="366D18BD"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9</w:t>
            </w:r>
            <w:r w:rsidRPr="0089743D">
              <w:rPr>
                <w:rFonts w:asciiTheme="minorHAnsi" w:hAnsiTheme="minorHAnsi" w:cstheme="minorHAnsi"/>
                <w:i/>
                <w:iCs/>
                <w:color w:val="auto"/>
                <w:sz w:val="22"/>
                <w:szCs w:val="22"/>
              </w:rPr>
              <w:t xml:space="preserve">: 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7280BFA4" w14:textId="77777777" w:rsidR="00D06CAA" w:rsidRPr="0089743D" w:rsidRDefault="00D06CAA" w:rsidP="00D06CAA">
            <w:pPr>
              <w:pStyle w:val="Default"/>
              <w:jc w:val="both"/>
              <w:rPr>
                <w:rFonts w:asciiTheme="minorHAnsi" w:hAnsiTheme="minorHAnsi" w:cstheme="minorHAnsi"/>
                <w:i/>
                <w:iCs/>
                <w:color w:val="auto"/>
                <w:sz w:val="22"/>
                <w:szCs w:val="22"/>
              </w:rPr>
            </w:pPr>
          </w:p>
          <w:p w14:paraId="7C80793B" w14:textId="6925936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lastRenderedPageBreak/>
              <w:t>2</w:t>
            </w:r>
            <w:r w:rsidR="00A065BB" w:rsidRPr="0089743D">
              <w:rPr>
                <w:rFonts w:asciiTheme="minorHAnsi" w:hAnsiTheme="minorHAnsi" w:cstheme="minorHAnsi"/>
                <w:i/>
                <w:iCs/>
                <w:color w:val="auto"/>
                <w:sz w:val="22"/>
                <w:szCs w:val="22"/>
              </w:rPr>
              <w:t>20</w:t>
            </w:r>
            <w:r w:rsidRPr="0089743D">
              <w:rPr>
                <w:rFonts w:asciiTheme="minorHAnsi" w:hAnsiTheme="minorHAnsi" w:cstheme="minorHAnsi"/>
                <w:i/>
                <w:iCs/>
                <w:color w:val="auto"/>
                <w:sz w:val="22"/>
                <w:szCs w:val="22"/>
              </w:rPr>
              <w:t>: 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to the significance of the Conservation Area or World Heritage Site as a whole.</w:t>
            </w:r>
          </w:p>
          <w:p w14:paraId="78EDEA49" w14:textId="77777777" w:rsidR="00A065BB" w:rsidRPr="0089743D" w:rsidRDefault="00A065BB" w:rsidP="00D06CAA">
            <w:pPr>
              <w:pStyle w:val="Default"/>
              <w:jc w:val="both"/>
              <w:rPr>
                <w:rFonts w:asciiTheme="minorHAnsi" w:hAnsiTheme="minorHAnsi" w:cstheme="minorHAnsi"/>
                <w:i/>
                <w:iCs/>
                <w:color w:val="auto"/>
                <w:sz w:val="22"/>
                <w:szCs w:val="22"/>
              </w:rPr>
            </w:pPr>
          </w:p>
          <w:p w14:paraId="2ED5B748" w14:textId="33B12BCE" w:rsidR="00A065BB" w:rsidRPr="0089743D" w:rsidRDefault="00A065BB"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221: Local planning authorities should assess whether the benefits of a proposal for enabling development, which would otherwise conflict with planning </w:t>
            </w:r>
            <w:proofErr w:type="gramStart"/>
            <w:r w:rsidRPr="0089743D">
              <w:rPr>
                <w:rFonts w:asciiTheme="minorHAnsi" w:hAnsiTheme="minorHAnsi" w:cstheme="minorHAnsi"/>
                <w:i/>
                <w:iCs/>
                <w:color w:val="auto"/>
                <w:sz w:val="22"/>
                <w:szCs w:val="22"/>
              </w:rPr>
              <w:t>policies</w:t>
            </w:r>
            <w:proofErr w:type="gramEnd"/>
            <w:r w:rsidRPr="0089743D">
              <w:rPr>
                <w:rFonts w:asciiTheme="minorHAnsi" w:hAnsiTheme="minorHAnsi" w:cstheme="minorHAnsi"/>
                <w:i/>
                <w:iCs/>
                <w:color w:val="auto"/>
                <w:sz w:val="22"/>
                <w:szCs w:val="22"/>
              </w:rPr>
              <w:t xml:space="preserve"> but which would secure the future conservation of a heritage asset, outweigh the disbenefits of departing from those policies.</w:t>
            </w:r>
          </w:p>
          <w:p w14:paraId="67B7C6DD" w14:textId="77777777" w:rsidR="00D06CAA" w:rsidRPr="0089743D" w:rsidRDefault="00D06CAA" w:rsidP="00D06CAA">
            <w:pPr>
              <w:pStyle w:val="Default"/>
              <w:jc w:val="both"/>
              <w:rPr>
                <w:rFonts w:asciiTheme="minorHAnsi" w:hAnsiTheme="minorHAnsi" w:cstheme="minorHAnsi"/>
                <w:i/>
                <w:iCs/>
                <w:color w:val="auto"/>
                <w:sz w:val="22"/>
                <w:szCs w:val="22"/>
              </w:rPr>
            </w:pPr>
          </w:p>
          <w:p w14:paraId="02B4A750" w14:textId="105504FF" w:rsidR="00D06CAA" w:rsidRPr="0089743D" w:rsidRDefault="00D06CAA" w:rsidP="00D06CAA">
            <w:pPr>
              <w:pStyle w:val="Default"/>
              <w:jc w:val="both"/>
              <w:rPr>
                <w:rFonts w:asciiTheme="minorHAnsi" w:hAnsiTheme="minorHAnsi" w:cstheme="minorHAnsi"/>
                <w:b/>
                <w:bCs/>
                <w:i/>
                <w:iCs/>
                <w:color w:val="auto"/>
                <w:sz w:val="22"/>
                <w:szCs w:val="22"/>
              </w:rPr>
            </w:pPr>
            <w:r w:rsidRPr="0089743D">
              <w:rPr>
                <w:rFonts w:asciiTheme="minorHAnsi" w:hAnsiTheme="minorHAnsi" w:cstheme="minorHAnsi"/>
                <w:b/>
                <w:bCs/>
                <w:i/>
                <w:iCs/>
                <w:color w:val="auto"/>
                <w:sz w:val="22"/>
                <w:szCs w:val="22"/>
              </w:rPr>
              <w:t>Assessment of Impacts:</w:t>
            </w:r>
          </w:p>
          <w:p w14:paraId="07B9958F" w14:textId="77777777" w:rsidR="00F168F4" w:rsidRDefault="00F168F4" w:rsidP="00F168F4">
            <w:pPr>
              <w:rPr>
                <w:szCs w:val="22"/>
              </w:rPr>
            </w:pPr>
          </w:p>
          <w:p w14:paraId="1D70EA18" w14:textId="6D786FC1" w:rsidR="0039295C" w:rsidRDefault="006C0B86" w:rsidP="00E266E7">
            <w:pPr>
              <w:rPr>
                <w:rFonts w:ascii="Calibri" w:hAnsi="Calibri"/>
                <w:szCs w:val="22"/>
              </w:rPr>
            </w:pPr>
            <w:r>
              <w:rPr>
                <w:rFonts w:ascii="Calibri" w:hAnsi="Calibri"/>
                <w:szCs w:val="22"/>
              </w:rPr>
              <w:t xml:space="preserve">The Heritage and Conservation Officer has provided comments on the proposed scheme. Given the render is failing and the cement is considered to restrict the breathability of the building, they do not </w:t>
            </w:r>
            <w:r w:rsidRPr="002272A2">
              <w:rPr>
                <w:rFonts w:ascii="Calibri" w:hAnsi="Calibri"/>
                <w:szCs w:val="22"/>
              </w:rPr>
              <w:t xml:space="preserve">object to its removal. The Method Statement for the work notes that the render is to be removed with hand tools and cleaned with a Doff cleaning system. The pointing will be cut out with hand tools or a handsaw for finer joints, which </w:t>
            </w:r>
            <w:r w:rsidR="000B6463">
              <w:rPr>
                <w:rFonts w:ascii="Calibri" w:hAnsi="Calibri"/>
                <w:szCs w:val="22"/>
              </w:rPr>
              <w:t xml:space="preserve">they consider to be </w:t>
            </w:r>
            <w:r w:rsidRPr="002272A2">
              <w:rPr>
                <w:rFonts w:ascii="Calibri" w:hAnsi="Calibri"/>
                <w:szCs w:val="22"/>
              </w:rPr>
              <w:t xml:space="preserve">an appropriate means of removal and cleaning. </w:t>
            </w:r>
            <w:r>
              <w:rPr>
                <w:rFonts w:ascii="Calibri" w:hAnsi="Calibri"/>
                <w:szCs w:val="22"/>
              </w:rPr>
              <w:t xml:space="preserve">They note that the </w:t>
            </w:r>
            <w:r w:rsidRPr="002272A2">
              <w:rPr>
                <w:rFonts w:ascii="Calibri" w:hAnsi="Calibri"/>
                <w:szCs w:val="22"/>
              </w:rPr>
              <w:t xml:space="preserve">proposed mortar </w:t>
            </w:r>
            <w:r>
              <w:rPr>
                <w:rFonts w:ascii="Calibri" w:hAnsi="Calibri"/>
                <w:szCs w:val="22"/>
              </w:rPr>
              <w:t>would</w:t>
            </w:r>
            <w:r w:rsidRPr="002272A2">
              <w:rPr>
                <w:rFonts w:ascii="Calibri" w:hAnsi="Calibri"/>
                <w:szCs w:val="22"/>
              </w:rPr>
              <w:t xml:space="preserve"> be </w:t>
            </w:r>
            <w:proofErr w:type="gramStart"/>
            <w:r w:rsidRPr="002272A2">
              <w:rPr>
                <w:rFonts w:ascii="Calibri" w:hAnsi="Calibri"/>
                <w:szCs w:val="22"/>
              </w:rPr>
              <w:t>1 part</w:t>
            </w:r>
            <w:proofErr w:type="gramEnd"/>
            <w:r w:rsidRPr="002272A2">
              <w:rPr>
                <w:rFonts w:ascii="Calibri" w:hAnsi="Calibri"/>
                <w:szCs w:val="22"/>
              </w:rPr>
              <w:t xml:space="preserve"> NHL3.5 to 3 parts Leighton Buzzard sand/</w:t>
            </w:r>
            <w:proofErr w:type="spellStart"/>
            <w:r w:rsidRPr="002272A2">
              <w:rPr>
                <w:rFonts w:ascii="Calibri" w:hAnsi="Calibri"/>
                <w:szCs w:val="22"/>
              </w:rPr>
              <w:t>Nosterfield</w:t>
            </w:r>
            <w:proofErr w:type="spellEnd"/>
            <w:r w:rsidRPr="002272A2">
              <w:rPr>
                <w:rFonts w:ascii="Calibri" w:hAnsi="Calibri"/>
                <w:szCs w:val="22"/>
              </w:rPr>
              <w:t xml:space="preserve"> washed river sand to walls.</w:t>
            </w:r>
          </w:p>
          <w:p w14:paraId="6D976FFA" w14:textId="77777777" w:rsidR="006C0B86" w:rsidRDefault="006C0B86" w:rsidP="00E266E7">
            <w:pPr>
              <w:rPr>
                <w:rFonts w:ascii="Calibri" w:hAnsi="Calibri"/>
                <w:bCs/>
              </w:rPr>
            </w:pPr>
          </w:p>
          <w:p w14:paraId="4BA125C2" w14:textId="0AA87F71" w:rsidR="006C0B86" w:rsidRDefault="006C0B86" w:rsidP="00E266E7">
            <w:pPr>
              <w:rPr>
                <w:rFonts w:ascii="Calibri" w:hAnsi="Calibri"/>
                <w:bCs/>
              </w:rPr>
            </w:pPr>
            <w:r>
              <w:rPr>
                <w:rFonts w:ascii="Calibri" w:hAnsi="Calibri"/>
                <w:bCs/>
              </w:rPr>
              <w:t xml:space="preserve">Whilst the Heritage and Conservation Officer does not object </w:t>
            </w:r>
            <w:r w:rsidRPr="006C0B86">
              <w:rPr>
                <w:rFonts w:ascii="Calibri" w:hAnsi="Calibri"/>
                <w:bCs/>
              </w:rPr>
              <w:t>to the removal of the pebbledash render and rendered window/door openings and quoins</w:t>
            </w:r>
            <w:r>
              <w:rPr>
                <w:rFonts w:ascii="Calibri" w:hAnsi="Calibri"/>
                <w:bCs/>
              </w:rPr>
              <w:t xml:space="preserve">, they consider </w:t>
            </w:r>
            <w:r w:rsidRPr="006C0B86">
              <w:rPr>
                <w:rFonts w:ascii="Calibri" w:hAnsi="Calibri"/>
                <w:bCs/>
              </w:rPr>
              <w:t xml:space="preserve">it would be more appropriate for an NHL2 </w:t>
            </w:r>
            <w:r>
              <w:rPr>
                <w:rFonts w:ascii="Calibri" w:hAnsi="Calibri"/>
                <w:bCs/>
              </w:rPr>
              <w:t xml:space="preserve">lime mortar </w:t>
            </w:r>
            <w:r w:rsidRPr="006C0B86">
              <w:rPr>
                <w:rFonts w:ascii="Calibri" w:hAnsi="Calibri"/>
                <w:bCs/>
              </w:rPr>
              <w:t>to be used, as opposed to NHL3.5, as it is more flexible and vapour permeable and as such, would be a more appropriate. The</w:t>
            </w:r>
            <w:r>
              <w:rPr>
                <w:rFonts w:ascii="Calibri" w:hAnsi="Calibri"/>
                <w:bCs/>
              </w:rPr>
              <w:t>y consider the</w:t>
            </w:r>
            <w:r w:rsidRPr="006C0B86">
              <w:rPr>
                <w:rFonts w:ascii="Calibri" w:hAnsi="Calibri"/>
                <w:bCs/>
              </w:rPr>
              <w:t xml:space="preserve"> use of NHL3.5 w</w:t>
            </w:r>
            <w:r>
              <w:rPr>
                <w:rFonts w:ascii="Calibri" w:hAnsi="Calibri"/>
                <w:bCs/>
              </w:rPr>
              <w:t xml:space="preserve">ould </w:t>
            </w:r>
            <w:r w:rsidRPr="006C0B86">
              <w:rPr>
                <w:rFonts w:ascii="Calibri" w:hAnsi="Calibri"/>
                <w:bCs/>
              </w:rPr>
              <w:t>cause slight harm to the listed building.</w:t>
            </w:r>
            <w:r>
              <w:rPr>
                <w:rFonts w:ascii="Calibri" w:hAnsi="Calibri"/>
                <w:bCs/>
              </w:rPr>
              <w:t xml:space="preserve"> They consider that this could be dealt with by way of a suitably worded planning condition.</w:t>
            </w:r>
          </w:p>
          <w:p w14:paraId="632BE018" w14:textId="0142A5D0" w:rsidR="006C0B86" w:rsidRPr="0039295C" w:rsidRDefault="006C0B86" w:rsidP="00E266E7">
            <w:pPr>
              <w:rPr>
                <w:rFonts w:ascii="Calibri" w:hAnsi="Calibri"/>
                <w:bCs/>
              </w:rPr>
            </w:pPr>
          </w:p>
        </w:tc>
      </w:tr>
      <w:tr w:rsidR="00C0704D" w:rsidRPr="00D2449B" w14:paraId="0A9D02B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89743D" w:rsidRDefault="00C0704D" w:rsidP="00EA09F9">
            <w:pPr>
              <w:contextualSpacing/>
              <w:jc w:val="both"/>
              <w:rPr>
                <w:rFonts w:ascii="Calibri" w:hAnsi="Calibri"/>
                <w:b/>
                <w:bCs/>
                <w:szCs w:val="22"/>
              </w:rPr>
            </w:pPr>
            <w:r w:rsidRPr="0089743D">
              <w:rPr>
                <w:rFonts w:ascii="Calibri" w:hAnsi="Calibri"/>
                <w:b/>
                <w:bCs/>
                <w:szCs w:val="22"/>
              </w:rPr>
              <w:lastRenderedPageBreak/>
              <w:t>Observations/Consideration of Matters Raised/Conclusion:</w:t>
            </w:r>
          </w:p>
          <w:p w14:paraId="379CF510" w14:textId="77777777" w:rsidR="00CC36CA" w:rsidRPr="00CC36CA" w:rsidRDefault="00CC36CA" w:rsidP="00CC36CA">
            <w:pPr>
              <w:pStyle w:val="Header"/>
              <w:tabs>
                <w:tab w:val="clear" w:pos="4153"/>
                <w:tab w:val="clear" w:pos="8306"/>
              </w:tabs>
              <w:contextualSpacing/>
              <w:rPr>
                <w:rFonts w:asciiTheme="minorHAnsi" w:hAnsiTheme="minorHAnsi" w:cstheme="minorHAnsi"/>
                <w:bCs/>
                <w:szCs w:val="22"/>
              </w:rPr>
            </w:pPr>
          </w:p>
          <w:p w14:paraId="1B7234E4" w14:textId="185B5D65" w:rsidR="00CC36CA" w:rsidRPr="00CC36CA" w:rsidRDefault="00CC36CA" w:rsidP="00CC36CA">
            <w:pPr>
              <w:pStyle w:val="Header"/>
              <w:contextualSpacing/>
              <w:rPr>
                <w:rFonts w:asciiTheme="minorHAnsi" w:hAnsiTheme="minorHAnsi" w:cstheme="minorHAnsi"/>
                <w:bCs/>
                <w:szCs w:val="22"/>
              </w:rPr>
            </w:pPr>
            <w:r w:rsidRPr="00CC36CA">
              <w:rPr>
                <w:rFonts w:asciiTheme="minorHAnsi" w:hAnsiTheme="minorHAnsi" w:cstheme="minorHAnsi"/>
                <w:bCs/>
                <w:szCs w:val="22"/>
              </w:rPr>
              <w:t xml:space="preserve">As such, </w:t>
            </w:r>
            <w:r w:rsidR="00B13890">
              <w:rPr>
                <w:rFonts w:asciiTheme="minorHAnsi" w:hAnsiTheme="minorHAnsi" w:cstheme="minorHAnsi"/>
                <w:bCs/>
                <w:szCs w:val="22"/>
              </w:rPr>
              <w:t xml:space="preserve">subject to a condition </w:t>
            </w:r>
            <w:r w:rsidR="006C0B86">
              <w:rPr>
                <w:rFonts w:asciiTheme="minorHAnsi" w:hAnsiTheme="minorHAnsi" w:cstheme="minorHAnsi"/>
                <w:bCs/>
                <w:szCs w:val="22"/>
              </w:rPr>
              <w:t xml:space="preserve">to secure a Natural Hydraulic Lime NHL2 rather than NHL3, </w:t>
            </w:r>
            <w:r w:rsidRPr="00CC36CA">
              <w:rPr>
                <w:rFonts w:asciiTheme="minorHAnsi" w:hAnsiTheme="minorHAnsi" w:cstheme="minorHAnsi"/>
                <w:bCs/>
                <w:szCs w:val="22"/>
              </w:rPr>
              <w:t xml:space="preserve">the </w:t>
            </w:r>
            <w:r w:rsidR="006C0B86">
              <w:rPr>
                <w:rFonts w:asciiTheme="minorHAnsi" w:hAnsiTheme="minorHAnsi" w:cstheme="minorHAnsi"/>
                <w:bCs/>
                <w:szCs w:val="22"/>
              </w:rPr>
              <w:t xml:space="preserve">proposal </w:t>
            </w:r>
            <w:r w:rsidRPr="00CC36CA">
              <w:rPr>
                <w:rFonts w:asciiTheme="minorHAnsi" w:hAnsiTheme="minorHAnsi" w:cstheme="minorHAnsi"/>
                <w:bCs/>
                <w:szCs w:val="22"/>
              </w:rPr>
              <w:t>complies with Key Statement EN5 and Policies DMG1 and DME4 of the Ribble Valley Core Strategy and the requirements of Section 16 and 66 of the Planning (Listed Buildings and Conservation Areas) Act 1990 and Section 16 of the National Planning Policy Framework</w:t>
            </w:r>
            <w:r w:rsidR="006C0B86">
              <w:rPr>
                <w:rFonts w:asciiTheme="minorHAnsi" w:hAnsiTheme="minorHAnsi" w:cstheme="minorHAnsi"/>
                <w:bCs/>
                <w:szCs w:val="22"/>
              </w:rPr>
              <w:t xml:space="preserve"> and would not result in harm to the </w:t>
            </w:r>
            <w:r w:rsidR="0031591C">
              <w:rPr>
                <w:rFonts w:asciiTheme="minorHAnsi" w:hAnsiTheme="minorHAnsi" w:cstheme="minorHAnsi"/>
                <w:bCs/>
                <w:szCs w:val="22"/>
              </w:rPr>
              <w:t>designated heritage asset</w:t>
            </w:r>
            <w:r w:rsidRPr="00CC36CA">
              <w:rPr>
                <w:rFonts w:asciiTheme="minorHAnsi" w:hAnsiTheme="minorHAnsi" w:cstheme="minorHAnsi"/>
                <w:bCs/>
                <w:szCs w:val="22"/>
              </w:rPr>
              <w:t>. Having regard to all material considerations and matters raised, the application is recommended for approval subject to conditions.</w:t>
            </w:r>
          </w:p>
          <w:p w14:paraId="3A4BD7A7" w14:textId="21C0D855" w:rsidR="0046548C" w:rsidRPr="0089743D"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2D51E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57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3152E" w14:textId="2342FC1E" w:rsidR="00495303" w:rsidRPr="00E3388A" w:rsidRDefault="00495303" w:rsidP="00495303">
            <w:pPr>
              <w:rPr>
                <w:rFonts w:asciiTheme="minorHAnsi" w:hAnsiTheme="minorHAnsi" w:cstheme="minorHAnsi"/>
                <w:bCs/>
                <w:szCs w:val="22"/>
              </w:rPr>
            </w:pPr>
            <w:r w:rsidRPr="00E3388A">
              <w:rPr>
                <w:rFonts w:asciiTheme="minorHAnsi" w:hAnsiTheme="minorHAnsi" w:cstheme="minorHAnsi"/>
                <w:bCs/>
                <w:szCs w:val="22"/>
              </w:rPr>
              <w:t>That listing building consent be granted subject to the imposition of conditions.</w:t>
            </w:r>
          </w:p>
          <w:p w14:paraId="1B2AB573" w14:textId="75C11310" w:rsidR="00C0704D" w:rsidRPr="00D2449B" w:rsidRDefault="00C0704D" w:rsidP="00CD2CEF">
            <w:pPr>
              <w:rPr>
                <w:rFonts w:ascii="Calibri" w:hAnsi="Calibri"/>
                <w:bCs/>
                <w:szCs w:val="22"/>
              </w:rPr>
            </w:pPr>
          </w:p>
        </w:tc>
      </w:tr>
    </w:tbl>
    <w:p w14:paraId="513FB541" w14:textId="77777777" w:rsidR="00AA5035" w:rsidRPr="00D2449B" w:rsidRDefault="00AA5035">
      <w:pPr>
        <w:rPr>
          <w:rFonts w:ascii="Calibri" w:hAnsi="Calibri"/>
          <w:szCs w:val="22"/>
        </w:rPr>
      </w:pPr>
    </w:p>
    <w:sectPr w:rsidR="00AA5035"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4B13"/>
    <w:multiLevelType w:val="multilevel"/>
    <w:tmpl w:val="9D96FB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260D0A"/>
    <w:multiLevelType w:val="hybridMultilevel"/>
    <w:tmpl w:val="E5E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684D4B"/>
    <w:multiLevelType w:val="hybridMultilevel"/>
    <w:tmpl w:val="A63E0BC6"/>
    <w:lvl w:ilvl="0" w:tplc="947497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30817"/>
    <w:multiLevelType w:val="hybridMultilevel"/>
    <w:tmpl w:val="86D2BB5E"/>
    <w:lvl w:ilvl="0" w:tplc="26ECA4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1548374880">
    <w:abstractNumId w:val="0"/>
  </w:num>
  <w:num w:numId="3" w16cid:durableId="185339712">
    <w:abstractNumId w:val="3"/>
  </w:num>
  <w:num w:numId="4" w16cid:durableId="991059854">
    <w:abstractNumId w:val="1"/>
  </w:num>
  <w:num w:numId="5" w16cid:durableId="1339118621">
    <w:abstractNumId w:val="4"/>
  </w:num>
  <w:num w:numId="6" w16cid:durableId="139201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23F9"/>
    <w:rsid w:val="000631C0"/>
    <w:rsid w:val="0006601D"/>
    <w:rsid w:val="000B5CB5"/>
    <w:rsid w:val="000B6463"/>
    <w:rsid w:val="000B7865"/>
    <w:rsid w:val="000B7DB1"/>
    <w:rsid w:val="000E1F25"/>
    <w:rsid w:val="000E7279"/>
    <w:rsid w:val="00130035"/>
    <w:rsid w:val="00141989"/>
    <w:rsid w:val="001B7291"/>
    <w:rsid w:val="001D4F7A"/>
    <w:rsid w:val="001F68F9"/>
    <w:rsid w:val="00212F6D"/>
    <w:rsid w:val="0022126E"/>
    <w:rsid w:val="002272A2"/>
    <w:rsid w:val="00247443"/>
    <w:rsid w:val="00250879"/>
    <w:rsid w:val="002537EB"/>
    <w:rsid w:val="00262982"/>
    <w:rsid w:val="00266AE2"/>
    <w:rsid w:val="00276CD5"/>
    <w:rsid w:val="0029334A"/>
    <w:rsid w:val="002A01CF"/>
    <w:rsid w:val="002C0299"/>
    <w:rsid w:val="002C6277"/>
    <w:rsid w:val="002D51E3"/>
    <w:rsid w:val="002F2580"/>
    <w:rsid w:val="002F72FA"/>
    <w:rsid w:val="0031591C"/>
    <w:rsid w:val="00321B6E"/>
    <w:rsid w:val="00326AD1"/>
    <w:rsid w:val="003650A4"/>
    <w:rsid w:val="003702FD"/>
    <w:rsid w:val="00373F74"/>
    <w:rsid w:val="0039295C"/>
    <w:rsid w:val="00393C32"/>
    <w:rsid w:val="003E64A1"/>
    <w:rsid w:val="00431486"/>
    <w:rsid w:val="00440CB6"/>
    <w:rsid w:val="0046548C"/>
    <w:rsid w:val="004947BB"/>
    <w:rsid w:val="00495303"/>
    <w:rsid w:val="004A5EA9"/>
    <w:rsid w:val="004B0EE8"/>
    <w:rsid w:val="004C2434"/>
    <w:rsid w:val="004C62B3"/>
    <w:rsid w:val="004D00FC"/>
    <w:rsid w:val="004D7DD0"/>
    <w:rsid w:val="004F0649"/>
    <w:rsid w:val="00500FBD"/>
    <w:rsid w:val="00510FA2"/>
    <w:rsid w:val="00512D9D"/>
    <w:rsid w:val="00556ECD"/>
    <w:rsid w:val="005A7A4C"/>
    <w:rsid w:val="005B709A"/>
    <w:rsid w:val="005E1C6C"/>
    <w:rsid w:val="005E65DF"/>
    <w:rsid w:val="00602DEA"/>
    <w:rsid w:val="00616D51"/>
    <w:rsid w:val="00664FA2"/>
    <w:rsid w:val="00675B24"/>
    <w:rsid w:val="00692B60"/>
    <w:rsid w:val="006A71AD"/>
    <w:rsid w:val="006B07FB"/>
    <w:rsid w:val="006C0B86"/>
    <w:rsid w:val="006C2BFA"/>
    <w:rsid w:val="006D156D"/>
    <w:rsid w:val="006F6849"/>
    <w:rsid w:val="00700085"/>
    <w:rsid w:val="0070054B"/>
    <w:rsid w:val="00776AE2"/>
    <w:rsid w:val="007C201C"/>
    <w:rsid w:val="007C791C"/>
    <w:rsid w:val="007D6DB9"/>
    <w:rsid w:val="007D7DF4"/>
    <w:rsid w:val="007E0D23"/>
    <w:rsid w:val="007F16D6"/>
    <w:rsid w:val="00802261"/>
    <w:rsid w:val="008052AF"/>
    <w:rsid w:val="00811771"/>
    <w:rsid w:val="008542DE"/>
    <w:rsid w:val="008869D4"/>
    <w:rsid w:val="0089743D"/>
    <w:rsid w:val="008A28C8"/>
    <w:rsid w:val="008A3A36"/>
    <w:rsid w:val="008F5B4B"/>
    <w:rsid w:val="008F7DE7"/>
    <w:rsid w:val="0090399D"/>
    <w:rsid w:val="00911EF7"/>
    <w:rsid w:val="00914736"/>
    <w:rsid w:val="00932249"/>
    <w:rsid w:val="00934218"/>
    <w:rsid w:val="00966CAD"/>
    <w:rsid w:val="0097239E"/>
    <w:rsid w:val="00973BD1"/>
    <w:rsid w:val="009B181A"/>
    <w:rsid w:val="009E735D"/>
    <w:rsid w:val="00A065BB"/>
    <w:rsid w:val="00A10E41"/>
    <w:rsid w:val="00A152FA"/>
    <w:rsid w:val="00A31EEC"/>
    <w:rsid w:val="00A35061"/>
    <w:rsid w:val="00A35EC8"/>
    <w:rsid w:val="00A42E82"/>
    <w:rsid w:val="00A579BB"/>
    <w:rsid w:val="00A623E0"/>
    <w:rsid w:val="00A63D55"/>
    <w:rsid w:val="00A70A46"/>
    <w:rsid w:val="00A81916"/>
    <w:rsid w:val="00A95D89"/>
    <w:rsid w:val="00AA5035"/>
    <w:rsid w:val="00AF5E2C"/>
    <w:rsid w:val="00B0438F"/>
    <w:rsid w:val="00B1069E"/>
    <w:rsid w:val="00B13890"/>
    <w:rsid w:val="00B15436"/>
    <w:rsid w:val="00B1590F"/>
    <w:rsid w:val="00B16E21"/>
    <w:rsid w:val="00B93EB5"/>
    <w:rsid w:val="00B94797"/>
    <w:rsid w:val="00BD3F03"/>
    <w:rsid w:val="00BE2AAA"/>
    <w:rsid w:val="00C0704D"/>
    <w:rsid w:val="00C25722"/>
    <w:rsid w:val="00C34C6C"/>
    <w:rsid w:val="00C51074"/>
    <w:rsid w:val="00C618DB"/>
    <w:rsid w:val="00C8338A"/>
    <w:rsid w:val="00CA7A7E"/>
    <w:rsid w:val="00CC07F3"/>
    <w:rsid w:val="00CC29CB"/>
    <w:rsid w:val="00CC36CA"/>
    <w:rsid w:val="00CC4B47"/>
    <w:rsid w:val="00D06CAA"/>
    <w:rsid w:val="00D11007"/>
    <w:rsid w:val="00D17EB1"/>
    <w:rsid w:val="00D2449B"/>
    <w:rsid w:val="00D54E67"/>
    <w:rsid w:val="00D97B0F"/>
    <w:rsid w:val="00DD2E18"/>
    <w:rsid w:val="00DD62F6"/>
    <w:rsid w:val="00DE7609"/>
    <w:rsid w:val="00E03640"/>
    <w:rsid w:val="00E266E7"/>
    <w:rsid w:val="00E3388A"/>
    <w:rsid w:val="00E46243"/>
    <w:rsid w:val="00E66534"/>
    <w:rsid w:val="00E72F6C"/>
    <w:rsid w:val="00E85D14"/>
    <w:rsid w:val="00EA09F9"/>
    <w:rsid w:val="00EA1E0F"/>
    <w:rsid w:val="00EC23C7"/>
    <w:rsid w:val="00ED00B7"/>
    <w:rsid w:val="00EF3E77"/>
    <w:rsid w:val="00EF44E6"/>
    <w:rsid w:val="00F100E3"/>
    <w:rsid w:val="00F168F4"/>
    <w:rsid w:val="00F306C8"/>
    <w:rsid w:val="00F35EC4"/>
    <w:rsid w:val="00F4669D"/>
    <w:rsid w:val="00F7288B"/>
    <w:rsid w:val="00F74557"/>
    <w:rsid w:val="00F751C6"/>
    <w:rsid w:val="00F766A3"/>
    <w:rsid w:val="00F9543D"/>
    <w:rsid w:val="00FD6AE3"/>
    <w:rsid w:val="00FE3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PLANNING2">
    <w:name w:val="PLANNING 2"/>
    <w:basedOn w:val="PLANNING"/>
    <w:qFormat/>
    <w:rsid w:val="00CC4B47"/>
    <w:pPr>
      <w:overflowPunct/>
      <w:autoSpaceDE/>
      <w:autoSpaceDN/>
      <w:adjustRightInd/>
      <w:ind w:left="1440" w:hanging="720"/>
      <w:textAlignment w:val="auto"/>
    </w:pPr>
    <w:rPr>
      <w:szCs w:val="24"/>
    </w:rPr>
  </w:style>
  <w:style w:type="paragraph" w:customStyle="1" w:styleId="Default">
    <w:name w:val="Default"/>
    <w:rsid w:val="00D06C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5520">
      <w:bodyDiv w:val="1"/>
      <w:marLeft w:val="0"/>
      <w:marRight w:val="0"/>
      <w:marTop w:val="0"/>
      <w:marBottom w:val="0"/>
      <w:divBdr>
        <w:top w:val="none" w:sz="0" w:space="0" w:color="auto"/>
        <w:left w:val="none" w:sz="0" w:space="0" w:color="auto"/>
        <w:bottom w:val="none" w:sz="0" w:space="0" w:color="auto"/>
        <w:right w:val="none" w:sz="0" w:space="0" w:color="auto"/>
      </w:divBdr>
    </w:div>
    <w:div w:id="286860753">
      <w:bodyDiv w:val="1"/>
      <w:marLeft w:val="0"/>
      <w:marRight w:val="0"/>
      <w:marTop w:val="0"/>
      <w:marBottom w:val="0"/>
      <w:divBdr>
        <w:top w:val="none" w:sz="0" w:space="0" w:color="auto"/>
        <w:left w:val="none" w:sz="0" w:space="0" w:color="auto"/>
        <w:bottom w:val="none" w:sz="0" w:space="0" w:color="auto"/>
        <w:right w:val="none" w:sz="0" w:space="0" w:color="auto"/>
      </w:divBdr>
    </w:div>
    <w:div w:id="369962240">
      <w:bodyDiv w:val="1"/>
      <w:marLeft w:val="0"/>
      <w:marRight w:val="0"/>
      <w:marTop w:val="0"/>
      <w:marBottom w:val="0"/>
      <w:divBdr>
        <w:top w:val="none" w:sz="0" w:space="0" w:color="auto"/>
        <w:left w:val="none" w:sz="0" w:space="0" w:color="auto"/>
        <w:bottom w:val="none" w:sz="0" w:space="0" w:color="auto"/>
        <w:right w:val="none" w:sz="0" w:space="0" w:color="auto"/>
      </w:divBdr>
    </w:div>
    <w:div w:id="465704292">
      <w:bodyDiv w:val="1"/>
      <w:marLeft w:val="0"/>
      <w:marRight w:val="0"/>
      <w:marTop w:val="0"/>
      <w:marBottom w:val="0"/>
      <w:divBdr>
        <w:top w:val="none" w:sz="0" w:space="0" w:color="auto"/>
        <w:left w:val="none" w:sz="0" w:space="0" w:color="auto"/>
        <w:bottom w:val="none" w:sz="0" w:space="0" w:color="auto"/>
        <w:right w:val="none" w:sz="0" w:space="0" w:color="auto"/>
      </w:divBdr>
    </w:div>
    <w:div w:id="696540098">
      <w:bodyDiv w:val="1"/>
      <w:marLeft w:val="0"/>
      <w:marRight w:val="0"/>
      <w:marTop w:val="0"/>
      <w:marBottom w:val="0"/>
      <w:divBdr>
        <w:top w:val="none" w:sz="0" w:space="0" w:color="auto"/>
        <w:left w:val="none" w:sz="0" w:space="0" w:color="auto"/>
        <w:bottom w:val="none" w:sz="0" w:space="0" w:color="auto"/>
        <w:right w:val="none" w:sz="0" w:space="0" w:color="auto"/>
      </w:divBdr>
    </w:div>
    <w:div w:id="927883597">
      <w:bodyDiv w:val="1"/>
      <w:marLeft w:val="0"/>
      <w:marRight w:val="0"/>
      <w:marTop w:val="0"/>
      <w:marBottom w:val="0"/>
      <w:divBdr>
        <w:top w:val="none" w:sz="0" w:space="0" w:color="auto"/>
        <w:left w:val="none" w:sz="0" w:space="0" w:color="auto"/>
        <w:bottom w:val="none" w:sz="0" w:space="0" w:color="auto"/>
        <w:right w:val="none" w:sz="0" w:space="0" w:color="auto"/>
      </w:divBdr>
    </w:div>
    <w:div w:id="1526095272">
      <w:bodyDiv w:val="1"/>
      <w:marLeft w:val="0"/>
      <w:marRight w:val="0"/>
      <w:marTop w:val="0"/>
      <w:marBottom w:val="0"/>
      <w:divBdr>
        <w:top w:val="none" w:sz="0" w:space="0" w:color="auto"/>
        <w:left w:val="none" w:sz="0" w:space="0" w:color="auto"/>
        <w:bottom w:val="none" w:sz="0" w:space="0" w:color="auto"/>
        <w:right w:val="none" w:sz="0" w:space="0" w:color="auto"/>
      </w:divBdr>
    </w:div>
    <w:div w:id="1571846845">
      <w:bodyDiv w:val="1"/>
      <w:marLeft w:val="0"/>
      <w:marRight w:val="0"/>
      <w:marTop w:val="0"/>
      <w:marBottom w:val="0"/>
      <w:divBdr>
        <w:top w:val="none" w:sz="0" w:space="0" w:color="auto"/>
        <w:left w:val="none" w:sz="0" w:space="0" w:color="auto"/>
        <w:bottom w:val="none" w:sz="0" w:space="0" w:color="auto"/>
        <w:right w:val="none" w:sz="0" w:space="0" w:color="auto"/>
      </w:divBdr>
    </w:div>
    <w:div w:id="1654992676">
      <w:bodyDiv w:val="1"/>
      <w:marLeft w:val="0"/>
      <w:marRight w:val="0"/>
      <w:marTop w:val="0"/>
      <w:marBottom w:val="0"/>
      <w:divBdr>
        <w:top w:val="none" w:sz="0" w:space="0" w:color="auto"/>
        <w:left w:val="none" w:sz="0" w:space="0" w:color="auto"/>
        <w:bottom w:val="none" w:sz="0" w:space="0" w:color="auto"/>
        <w:right w:val="none" w:sz="0" w:space="0" w:color="auto"/>
      </w:divBdr>
    </w:div>
    <w:div w:id="1746341238">
      <w:bodyDiv w:val="1"/>
      <w:marLeft w:val="0"/>
      <w:marRight w:val="0"/>
      <w:marTop w:val="0"/>
      <w:marBottom w:val="0"/>
      <w:divBdr>
        <w:top w:val="none" w:sz="0" w:space="0" w:color="auto"/>
        <w:left w:val="none" w:sz="0" w:space="0" w:color="auto"/>
        <w:bottom w:val="none" w:sz="0" w:space="0" w:color="auto"/>
        <w:right w:val="none" w:sz="0" w:space="0" w:color="auto"/>
      </w:divBdr>
    </w:div>
    <w:div w:id="1805149984">
      <w:bodyDiv w:val="1"/>
      <w:marLeft w:val="0"/>
      <w:marRight w:val="0"/>
      <w:marTop w:val="0"/>
      <w:marBottom w:val="0"/>
      <w:divBdr>
        <w:top w:val="none" w:sz="0" w:space="0" w:color="auto"/>
        <w:left w:val="none" w:sz="0" w:space="0" w:color="auto"/>
        <w:bottom w:val="none" w:sz="0" w:space="0" w:color="auto"/>
        <w:right w:val="none" w:sz="0" w:space="0" w:color="auto"/>
      </w:divBdr>
    </w:div>
    <w:div w:id="195417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Joanne Steer</cp:lastModifiedBy>
  <cp:revision>2</cp:revision>
  <cp:lastPrinted>2025-05-06T15:03:00Z</cp:lastPrinted>
  <dcterms:created xsi:type="dcterms:W3CDTF">2025-05-06T15:09:00Z</dcterms:created>
  <dcterms:modified xsi:type="dcterms:W3CDTF">2025-05-06T15:09:00Z</dcterms:modified>
</cp:coreProperties>
</file>