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B1590F" w:rsidRPr="00D2449B" w14:paraId="19D1C74B" w14:textId="77777777" w:rsidTr="00F7455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0FB892" w14:textId="5407925C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8AFA7" w14:textId="18226A99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1C1" w14:textId="788F7CD1" w:rsidR="00B1590F" w:rsidRPr="00D2449B" w:rsidRDefault="00E0413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DD28E" w14:textId="01BEAF98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2FDD" w14:textId="524817FA" w:rsidR="00B1590F" w:rsidRPr="00D2449B" w:rsidRDefault="005B2111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04/04/2025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FE414" w14:textId="158ECB32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DC62B" w14:textId="143E301E" w:rsidR="00B1590F" w:rsidRPr="00D2449B" w:rsidRDefault="00FB3879" w:rsidP="00855EF2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3B42" w14:textId="1C423ABB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AB300" w14:textId="78D4CA5B" w:rsidR="00B1590F" w:rsidRPr="00D2449B" w:rsidRDefault="00FB3879" w:rsidP="00BF534E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04.04.25</w:t>
            </w:r>
          </w:p>
        </w:tc>
      </w:tr>
      <w:tr w:rsidR="004A5EA9" w:rsidRPr="00D2449B" w14:paraId="2094A1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54FA9917" w:rsidR="004A5EA9" w:rsidRPr="00250879" w:rsidRDefault="000C6262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</w:t>
            </w:r>
            <w:r w:rsidR="004A5EA9" w:rsidRPr="002C6277">
              <w:rPr>
                <w:rFonts w:ascii="Calibri" w:hAnsi="Calibri"/>
                <w:szCs w:val="22"/>
              </w:rPr>
              <w:t>20</w:t>
            </w:r>
            <w:r w:rsidR="00A94A3C">
              <w:rPr>
                <w:rFonts w:ascii="Calibri" w:hAnsi="Calibri"/>
                <w:szCs w:val="22"/>
              </w:rPr>
              <w:t>25/0123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7A7E" w:rsidRPr="00D2449B" w14:paraId="311D78EF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CA7A7E" w:rsidRPr="00C0704D" w:rsidRDefault="00CA7A7E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1D521" w14:textId="0726898D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150A5" w14:textId="4A207CC3" w:rsidR="00CA7A7E" w:rsidRPr="00CA7A7E" w:rsidRDefault="00CA7A7E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CA7A7E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2CBD765A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CA7A7E" w:rsidRPr="00D2449B" w:rsidRDefault="00CA7A7E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6C2F375F" w:rsidR="004A5EA9" w:rsidRPr="00250879" w:rsidRDefault="00AD2870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AD2870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F74557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5CB96F50" w:rsidR="004A5EA9" w:rsidRPr="002C6277" w:rsidRDefault="000A0F8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Certificate of Lawfulness for </w:t>
            </w:r>
            <w:r w:rsidR="007B684A">
              <w:rPr>
                <w:rFonts w:ascii="Calibri" w:hAnsi="Calibri"/>
                <w:szCs w:val="22"/>
              </w:rPr>
              <w:t xml:space="preserve">proposed </w:t>
            </w:r>
            <w:r w:rsidR="005B2111">
              <w:rPr>
                <w:rFonts w:ascii="Calibri" w:hAnsi="Calibri"/>
                <w:szCs w:val="22"/>
              </w:rPr>
              <w:t xml:space="preserve">insertion of new window opening on ground floor side elevation. </w:t>
            </w:r>
            <w:r w:rsidR="0094304B">
              <w:rPr>
                <w:rFonts w:ascii="Calibri" w:hAnsi="Calibri"/>
                <w:szCs w:val="22"/>
              </w:rPr>
              <w:t xml:space="preserve"> </w:t>
            </w:r>
            <w:r w:rsidR="007B684A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E0413A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2A01CF" w:rsidRPr="00D2449B" w14:paraId="52988241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5DA60868" w:rsidR="002A01CF" w:rsidRPr="002C6277" w:rsidRDefault="0094304B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2 Lime Close, Clitheroe BB7 4UA. </w:t>
            </w:r>
            <w:r w:rsidR="007B684A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A95D89" w:rsidRPr="00D2449B" w14:paraId="3FB99B2E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166E4094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618DB" w:rsidRPr="00D2449B" w14:paraId="639E958B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09036FF6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15C30BEA" w:rsidR="00C0704D" w:rsidRPr="00C0704D" w:rsidRDefault="00E0413A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FF0F70" w14:textId="77777777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</w:p>
          <w:p w14:paraId="4115061C" w14:textId="239E6114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2015 (as amended).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64F5481C" w14:textId="7352520C" w:rsidR="002F1E8B" w:rsidRPr="006449DD" w:rsidRDefault="0094304B" w:rsidP="00BF534E">
            <w:pPr>
              <w:pStyle w:val="PLANNING"/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>
              <w:rPr>
                <w:rFonts w:ascii="Calibri" w:hAnsi="Calibri"/>
                <w:bCs/>
                <w:szCs w:val="22"/>
              </w:rPr>
              <w:t>No relevant planning history.</w:t>
            </w:r>
          </w:p>
          <w:p w14:paraId="17147D50" w14:textId="1254A668" w:rsidR="006449DD" w:rsidRPr="002F1E8B" w:rsidRDefault="006449DD" w:rsidP="00BF534E">
            <w:pPr>
              <w:pStyle w:val="PLANNING"/>
              <w:rPr>
                <w:rFonts w:asciiTheme="minorHAnsi" w:hAnsiTheme="minorHAnsi" w:cstheme="minorHAnsi"/>
                <w:b/>
                <w:bCs/>
                <w:color w:val="333333"/>
                <w:szCs w:val="22"/>
                <w:shd w:val="clear" w:color="auto" w:fill="FFFFFF"/>
              </w:rPr>
            </w:pPr>
          </w:p>
        </w:tc>
      </w:tr>
      <w:tr w:rsidR="00C0704D" w:rsidRPr="00D2449B" w14:paraId="6AAC3B0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600A1D62" w14:textId="54876B18" w:rsidR="006D6FEE" w:rsidRDefault="0094304B" w:rsidP="0094304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application relates to a detached dwelling in Clitheroe. The application site itself is not on any designated land and the surrounding area is predominately residential in nature, being typified of similar detached and semi-detached properties. </w:t>
            </w:r>
          </w:p>
          <w:p w14:paraId="62370E9F" w14:textId="679F2CD7" w:rsidR="0094304B" w:rsidRPr="006C2BFA" w:rsidRDefault="0094304B" w:rsidP="0094304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25B5583" w14:textId="53FE7748" w:rsidR="00C0704D" w:rsidRDefault="00D12415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Consent is sought for the </w:t>
            </w:r>
            <w:r w:rsidR="0094304B">
              <w:rPr>
                <w:rFonts w:ascii="Calibri" w:hAnsi="Calibri"/>
                <w:szCs w:val="22"/>
              </w:rPr>
              <w:t xml:space="preserve">installation of an additional window on the side elevation of the </w:t>
            </w:r>
            <w:r w:rsidR="00691B49">
              <w:rPr>
                <w:rFonts w:ascii="Calibri" w:hAnsi="Calibri"/>
                <w:szCs w:val="22"/>
              </w:rPr>
              <w:t xml:space="preserve">dwelling. </w:t>
            </w:r>
            <w:r w:rsidR="0094304B">
              <w:rPr>
                <w:rFonts w:ascii="Calibri" w:hAnsi="Calibri"/>
                <w:szCs w:val="22"/>
              </w:rPr>
              <w:t xml:space="preserve"> </w:t>
            </w:r>
          </w:p>
          <w:p w14:paraId="1B20488F" w14:textId="37D99CA6" w:rsidR="00CD5C9C" w:rsidRPr="00D54E67" w:rsidRDefault="00CD5C9C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0809965F" w14:textId="74EC47D2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41F4CC63" w14:textId="77777777" w:rsidR="0094304B" w:rsidRDefault="00CD5C9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D5C9C">
              <w:rPr>
                <w:rFonts w:ascii="Calibri" w:hAnsi="Calibri"/>
                <w:bCs/>
                <w:szCs w:val="22"/>
              </w:rPr>
              <w:lastRenderedPageBreak/>
              <w:t xml:space="preserve">The proposal seeks to determine whether the proposal falls under the realm of permitted development or if full planning consent is </w:t>
            </w:r>
            <w:r>
              <w:rPr>
                <w:rFonts w:ascii="Calibri" w:hAnsi="Calibri"/>
                <w:bCs/>
                <w:szCs w:val="22"/>
              </w:rPr>
              <w:t>required</w:t>
            </w:r>
            <w:r w:rsidRPr="00CD5C9C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07A958AF" w14:textId="6847FBE5" w:rsidR="0094304B" w:rsidRPr="006D6FEE" w:rsidRDefault="0094304B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7B96C947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F2E3879" w14:textId="77777777" w:rsidR="0094304B" w:rsidRDefault="0094304B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1B448F5" w14:textId="05D3F36C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Other Matters:</w:t>
            </w:r>
          </w:p>
          <w:p w14:paraId="7C5F9ADE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070CB37" w14:textId="77777777" w:rsidR="00E0413A" w:rsidRPr="005B5F4B" w:rsidRDefault="00E0413A" w:rsidP="00E0413A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Assessment of proposal in relation to the provisions of Schedule 2</w:t>
            </w:r>
            <w:r>
              <w:rPr>
                <w:rFonts w:ascii="Calibri" w:hAnsi="Calibri"/>
                <w:szCs w:val="22"/>
              </w:rPr>
              <w:t>, Part 1, Class A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 (England) Order 2015:</w:t>
            </w:r>
          </w:p>
          <w:p w14:paraId="5230ABE3" w14:textId="77777777" w:rsidR="00E0413A" w:rsidRPr="005B5F4B" w:rsidRDefault="00E0413A" w:rsidP="00E0413A">
            <w:pPr>
              <w:rPr>
                <w:rFonts w:ascii="Calibri" w:hAnsi="Calibri"/>
                <w:bCs/>
                <w:szCs w:val="22"/>
              </w:rPr>
            </w:pPr>
          </w:p>
          <w:p w14:paraId="303EF211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</w:t>
            </w:r>
            <w:r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enlargement, improvement or other alteration of a dwellinghouse.</w:t>
            </w:r>
          </w:p>
          <w:p w14:paraId="79D93E6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E3BF985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Development is not permitted by Class A if –</w:t>
            </w:r>
          </w:p>
          <w:p w14:paraId="7DE01FC8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1A302BE7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4510F44A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36789DA4" w14:textId="77777777" w:rsidR="00E0413A" w:rsidRPr="005B5F4B" w:rsidRDefault="00E0413A" w:rsidP="00E0413A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4C445F7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7610201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3ACF35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7D0045B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7F7A04" w14:textId="4692FDE0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</w:t>
            </w:r>
            <w:r w:rsidR="004A42B1">
              <w:rPr>
                <w:rFonts w:ascii="Calibri" w:hAnsi="Calibri"/>
                <w:b/>
                <w:szCs w:val="22"/>
              </w:rPr>
              <w:t xml:space="preserve">proposal does not include the erection of any new built form. </w:t>
            </w:r>
            <w:r w:rsidRPr="005B5F4B">
              <w:rPr>
                <w:rFonts w:ascii="Calibri" w:hAnsi="Calibri"/>
                <w:b/>
                <w:szCs w:val="22"/>
              </w:rPr>
              <w:t xml:space="preserve"> </w:t>
            </w:r>
          </w:p>
          <w:p w14:paraId="4B789ABC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CD4E95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E40B0D">
              <w:rPr>
                <w:rFonts w:ascii="Calibri" w:hAnsi="Calibri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3F09E1D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92ABAF7" w14:textId="48039178" w:rsidR="00E0413A" w:rsidRDefault="004A42B1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  <w:p w14:paraId="77539435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C69A678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Pr="00E40FA7">
              <w:t xml:space="preserve"> </w:t>
            </w:r>
            <w:r w:rsidRPr="00E40FA7">
              <w:rPr>
                <w:rFonts w:ascii="Calibri" w:hAnsi="Calibri"/>
                <w:szCs w:val="22"/>
              </w:rPr>
              <w:t>the height of the eaves of the part of the dwelling house enlarged or improved or altered would exceed the height of the eaves of the existing dwelling house;</w:t>
            </w:r>
          </w:p>
          <w:p w14:paraId="5C24351D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2017F03A" w14:textId="081826C2" w:rsidR="00E0413A" w:rsidRDefault="004A42B1" w:rsidP="00E0413A">
            <w:pPr>
              <w:pStyle w:val="Head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  <w:p w14:paraId="3332E53F" w14:textId="77777777" w:rsidR="004A42B1" w:rsidRPr="005B5F4B" w:rsidRDefault="004A42B1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516794B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Pr="00E40FA7">
              <w:t xml:space="preserve"> </w:t>
            </w:r>
            <w:r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0DC05047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5D45E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5F3D22BD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76A97BC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fronts a highway and forms a side elevation of the original dwellinghouse;</w:t>
            </w:r>
          </w:p>
          <w:p w14:paraId="5F4BD06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665EABD" w14:textId="2B218D33" w:rsidR="00E0413A" w:rsidRDefault="004A42B1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  <w:p w14:paraId="4FB499B6" w14:textId="77777777" w:rsidR="004A42B1" w:rsidRDefault="004A42B1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EEB1C37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2CA655BB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0433A20E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4BDCB2A0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6CBD7F29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(ii) exceed 4 metres in height;</w:t>
            </w:r>
          </w:p>
          <w:p w14:paraId="3CC43C55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3C98E13D" w14:textId="7AABF5ED" w:rsidR="00E0413A" w:rsidRDefault="004A42B1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  <w:p w14:paraId="5005B7C7" w14:textId="77777777" w:rsidR="00E0413A" w:rsidRPr="00060692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ab/>
            </w:r>
          </w:p>
          <w:p w14:paraId="0668263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lastRenderedPageBreak/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648F969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39069E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063ACCD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8D0D70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(ii) exceed 4 metres in height;”</w:t>
            </w:r>
          </w:p>
          <w:p w14:paraId="1ED6049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7B78B7" w14:textId="77777777" w:rsidR="00E0413A" w:rsidRPr="0042068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2068B">
              <w:rPr>
                <w:rFonts w:ascii="Calibri" w:hAnsi="Calibri"/>
                <w:b/>
                <w:szCs w:val="22"/>
              </w:rPr>
              <w:t>N/A</w:t>
            </w:r>
          </w:p>
          <w:p w14:paraId="02D2C6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B074B3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11DE0A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4888C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extend beyond the rear wall of the original dwelling house by more than 3 metres, or </w:t>
            </w:r>
          </w:p>
          <w:p w14:paraId="0FB469A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744FA7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Pr="00060692">
              <w:rPr>
                <w:rFonts w:ascii="Calibri" w:hAnsi="Calibri"/>
                <w:szCs w:val="22"/>
              </w:rPr>
              <w:t>be within 7 metres of any boundary of the curtilage of the dwelling house opposite the rear wall of the dwelling house;</w:t>
            </w:r>
          </w:p>
          <w:p w14:paraId="4C496A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793A79F" w14:textId="3EFC67EC" w:rsidR="00E0413A" w:rsidRPr="00060692" w:rsidRDefault="004A42B1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  <w:p w14:paraId="3692547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6BFC4B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metres; </w:t>
            </w:r>
          </w:p>
          <w:p w14:paraId="25EB0FC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5CA0B75" w14:textId="46DA0C0C" w:rsidR="00E0413A" w:rsidRPr="00060692" w:rsidRDefault="004A42B1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  <w:p w14:paraId="7326552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09CB3B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36A786D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3EDB12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exceed 4 metres in height, </w:t>
            </w:r>
          </w:p>
          <w:p w14:paraId="60B1784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6069E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74CC88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58B7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have a width greater than half the width of the original dwellinghouse; or </w:t>
            </w:r>
          </w:p>
          <w:p w14:paraId="32D6AC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09257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393FCD8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BBD3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the construction or provision of a veranda, balcony or raised platform, </w:t>
            </w:r>
          </w:p>
          <w:p w14:paraId="43A66AC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25BD99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alteration or replacement of a microwave antenna, </w:t>
            </w:r>
          </w:p>
          <w:p w14:paraId="78B678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B2B456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1612824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1C629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5EFF06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8A1DB2A" w14:textId="1DEBEF02" w:rsidR="00E0413A" w:rsidRDefault="004A42B1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The proposal does consist of or include any of the above. </w:t>
            </w:r>
          </w:p>
          <w:p w14:paraId="50C018A1" w14:textId="77777777" w:rsid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140F9F20" w14:textId="7165C2B4" w:rsidR="00F11C2A" w:rsidRP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proposal meets the above criteria to be classed as permitted development</w:t>
            </w:r>
            <w:r w:rsidRPr="000A5268">
              <w:rPr>
                <w:rFonts w:ascii="Calibri" w:hAnsi="Calibri"/>
                <w:szCs w:val="22"/>
              </w:rPr>
              <w:t>.</w:t>
            </w:r>
          </w:p>
          <w:p w14:paraId="7461CB9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66CD8C3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  <w:r w:rsidRPr="009729CF">
              <w:rPr>
                <w:rFonts w:ascii="Calibri" w:hAnsi="Calibri"/>
                <w:bCs/>
                <w:szCs w:val="22"/>
                <w:u w:val="single"/>
              </w:rPr>
              <w:t xml:space="preserve">Conditions </w:t>
            </w:r>
          </w:p>
          <w:p w14:paraId="76892B1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</w:p>
          <w:p w14:paraId="0747F18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  <w:r w:rsidRPr="009729CF">
              <w:rPr>
                <w:rFonts w:ascii="Calibri" w:hAnsi="Calibri"/>
                <w:bCs/>
                <w:szCs w:val="22"/>
              </w:rPr>
              <w:t xml:space="preserve">A.3 </w:t>
            </w:r>
            <w:r>
              <w:rPr>
                <w:rFonts w:ascii="Calibri" w:hAnsi="Calibri"/>
                <w:bCs/>
                <w:szCs w:val="22"/>
              </w:rPr>
              <w:t>Development is permitted by class A subject to the following conditions</w:t>
            </w:r>
          </w:p>
          <w:p w14:paraId="6E094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</w:p>
          <w:p w14:paraId="26954FB8" w14:textId="3944B16F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729CF">
              <w:rPr>
                <w:rFonts w:asciiTheme="minorHAnsi" w:hAnsiTheme="minorHAnsi" w:cstheme="minorHAnsi"/>
              </w:rPr>
              <w:t>(a) the materials used in any exterior work (other than materials used in the construction of a conservatory) must be of a similar appearance to those used in the construction of the exterior of the existing dwellinghouse</w:t>
            </w:r>
            <w:r w:rsidR="006D6FEE">
              <w:rPr>
                <w:rFonts w:asciiTheme="minorHAnsi" w:hAnsiTheme="minorHAnsi" w:cstheme="minorHAnsi"/>
              </w:rPr>
              <w:t>.</w:t>
            </w:r>
          </w:p>
          <w:p w14:paraId="10B2F5BB" w14:textId="77777777" w:rsidR="004A42B1" w:rsidRDefault="004A42B1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CD20FA5" w14:textId="0957B1AC" w:rsidR="004A42B1" w:rsidRPr="004A42B1" w:rsidRDefault="004A42B1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 w:rsidRPr="004A42B1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The proposed window will match the existing windows. </w:t>
            </w:r>
          </w:p>
          <w:p w14:paraId="5DDDD3C6" w14:textId="77777777" w:rsidR="004A42B1" w:rsidRDefault="004A42B1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104720C6" w14:textId="77777777" w:rsidR="004A42B1" w:rsidRDefault="004A42B1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4A42B1">
              <w:rPr>
                <w:rFonts w:asciiTheme="minorHAnsi" w:hAnsiTheme="minorHAnsi" w:cstheme="minorHAnsi"/>
              </w:rPr>
              <w:t xml:space="preserve">(b) any upper-floor window located in a wall or roof slope forming a side elevation of the dwellinghouse must be— </w:t>
            </w:r>
          </w:p>
          <w:p w14:paraId="67C1115A" w14:textId="77777777" w:rsidR="004A42B1" w:rsidRDefault="004A42B1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CA03B22" w14:textId="77777777" w:rsidR="004A42B1" w:rsidRDefault="004A42B1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4A42B1">
              <w:rPr>
                <w:rFonts w:asciiTheme="minorHAnsi" w:hAnsiTheme="minorHAnsi" w:cstheme="minorHAnsi"/>
              </w:rPr>
              <w:t xml:space="preserve">(i) obscure-glazed, and </w:t>
            </w:r>
          </w:p>
          <w:p w14:paraId="39BF0E7A" w14:textId="77777777" w:rsidR="004A42B1" w:rsidRDefault="004A42B1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785F3B07" w14:textId="5A0981A2" w:rsidR="004A42B1" w:rsidRPr="004A42B1" w:rsidRDefault="004A42B1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4A42B1">
              <w:rPr>
                <w:rFonts w:asciiTheme="minorHAnsi" w:hAnsiTheme="minorHAnsi" w:cstheme="minorHAnsi"/>
              </w:rPr>
              <w:t>(ii) non-opening unless the parts of the window which can be opened are more than 1.7 metres above the floor of the room in which the window is installed.</w:t>
            </w:r>
          </w:p>
          <w:p w14:paraId="4E61174B" w14:textId="77777777" w:rsidR="00D2450F" w:rsidRDefault="00D2450F" w:rsidP="000A0F8D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color w:val="548DD4" w:themeColor="text2" w:themeTint="99"/>
                <w:szCs w:val="22"/>
              </w:rPr>
            </w:pPr>
          </w:p>
          <w:p w14:paraId="6044E42C" w14:textId="394D354F" w:rsidR="004A42B1" w:rsidRPr="004A42B1" w:rsidRDefault="004A42B1" w:rsidP="000A0F8D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A42B1">
              <w:rPr>
                <w:rFonts w:ascii="Calibri" w:hAnsi="Calibri"/>
                <w:b/>
                <w:szCs w:val="22"/>
              </w:rPr>
              <w:t xml:space="preserve">The proposed window will be inserted at ground floor level. </w:t>
            </w:r>
          </w:p>
          <w:p w14:paraId="7AC53BDF" w14:textId="0B838614" w:rsidR="004A42B1" w:rsidRPr="00D2450F" w:rsidRDefault="004A42B1" w:rsidP="000A0F8D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color w:val="548DD4" w:themeColor="text2" w:themeTint="99"/>
                <w:szCs w:val="22"/>
              </w:rPr>
            </w:pPr>
          </w:p>
        </w:tc>
      </w:tr>
      <w:tr w:rsidR="00C0704D" w:rsidRPr="00D2449B" w14:paraId="0A9D02B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53819763" w14:textId="77777777" w:rsidR="00E0413A" w:rsidRPr="00DC4B02" w:rsidRDefault="00E0413A" w:rsidP="00E0413A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DC4B02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>
              <w:rPr>
                <w:rFonts w:ascii="Calibri" w:hAnsi="Calibri"/>
                <w:szCs w:val="22"/>
              </w:rPr>
              <w:t>A</w:t>
            </w:r>
            <w:r w:rsidRPr="00DC4B02">
              <w:rPr>
                <w:rFonts w:ascii="Calibri" w:hAnsi="Calibri"/>
                <w:szCs w:val="22"/>
              </w:rPr>
              <w:t xml:space="preserve"> subject to the external facing materials being of a similar appearance to those used in the construction of the exterior of the existing dwelling house.</w:t>
            </w:r>
          </w:p>
          <w:p w14:paraId="3A4BD7A7" w14:textId="21C0D855" w:rsidR="0046548C" w:rsidRDefault="0046548C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F74557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29593CC6" w:rsidR="00C0704D" w:rsidRPr="00D2449B" w:rsidRDefault="00E0413A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approve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513FB541" w14:textId="77777777" w:rsidR="00C2568B" w:rsidRPr="00D2449B" w:rsidRDefault="00C2568B">
      <w:pPr>
        <w:rPr>
          <w:rFonts w:ascii="Calibri" w:hAnsi="Calibri"/>
          <w:szCs w:val="22"/>
        </w:rPr>
      </w:pPr>
    </w:p>
    <w:sectPr w:rsidR="00C2568B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21F25"/>
    <w:rsid w:val="00046CAF"/>
    <w:rsid w:val="000A0F8D"/>
    <w:rsid w:val="000B5CB5"/>
    <w:rsid w:val="000C6262"/>
    <w:rsid w:val="00130035"/>
    <w:rsid w:val="00181D42"/>
    <w:rsid w:val="00183CF7"/>
    <w:rsid w:val="001B5604"/>
    <w:rsid w:val="001B7291"/>
    <w:rsid w:val="001D4F7A"/>
    <w:rsid w:val="00203AB0"/>
    <w:rsid w:val="00204606"/>
    <w:rsid w:val="00243F7C"/>
    <w:rsid w:val="00250879"/>
    <w:rsid w:val="00276CD5"/>
    <w:rsid w:val="0028655D"/>
    <w:rsid w:val="0029334A"/>
    <w:rsid w:val="002A01CF"/>
    <w:rsid w:val="002C6277"/>
    <w:rsid w:val="002E581A"/>
    <w:rsid w:val="002F1E8B"/>
    <w:rsid w:val="002F2580"/>
    <w:rsid w:val="00321B6E"/>
    <w:rsid w:val="003C303E"/>
    <w:rsid w:val="00404CF9"/>
    <w:rsid w:val="00440CB6"/>
    <w:rsid w:val="0046548C"/>
    <w:rsid w:val="0047054C"/>
    <w:rsid w:val="00475261"/>
    <w:rsid w:val="004947BB"/>
    <w:rsid w:val="004A42B1"/>
    <w:rsid w:val="004A5EA9"/>
    <w:rsid w:val="004B2CCC"/>
    <w:rsid w:val="004C2434"/>
    <w:rsid w:val="004F0649"/>
    <w:rsid w:val="00510FA2"/>
    <w:rsid w:val="00556ECD"/>
    <w:rsid w:val="0056747E"/>
    <w:rsid w:val="00570E0F"/>
    <w:rsid w:val="005B2111"/>
    <w:rsid w:val="005E1C6C"/>
    <w:rsid w:val="005E65DF"/>
    <w:rsid w:val="005F440E"/>
    <w:rsid w:val="006104E4"/>
    <w:rsid w:val="006449DD"/>
    <w:rsid w:val="00652690"/>
    <w:rsid w:val="00691B49"/>
    <w:rsid w:val="00692B60"/>
    <w:rsid w:val="006A489F"/>
    <w:rsid w:val="006A71AD"/>
    <w:rsid w:val="006C2BFA"/>
    <w:rsid w:val="006D24DD"/>
    <w:rsid w:val="006D6FEE"/>
    <w:rsid w:val="006F6849"/>
    <w:rsid w:val="0070054B"/>
    <w:rsid w:val="00776AE2"/>
    <w:rsid w:val="007B053C"/>
    <w:rsid w:val="007B684A"/>
    <w:rsid w:val="007C791C"/>
    <w:rsid w:val="007D7DF4"/>
    <w:rsid w:val="007E0D23"/>
    <w:rsid w:val="007F16D6"/>
    <w:rsid w:val="008052AF"/>
    <w:rsid w:val="00811771"/>
    <w:rsid w:val="008542DE"/>
    <w:rsid w:val="00855EF2"/>
    <w:rsid w:val="008848C9"/>
    <w:rsid w:val="008A28C8"/>
    <w:rsid w:val="00925340"/>
    <w:rsid w:val="0094304B"/>
    <w:rsid w:val="0098675D"/>
    <w:rsid w:val="009E419A"/>
    <w:rsid w:val="00A42E82"/>
    <w:rsid w:val="00A579BB"/>
    <w:rsid w:val="00A63D55"/>
    <w:rsid w:val="00A775DC"/>
    <w:rsid w:val="00A81860"/>
    <w:rsid w:val="00A81916"/>
    <w:rsid w:val="00A87C79"/>
    <w:rsid w:val="00A94A3C"/>
    <w:rsid w:val="00A95D89"/>
    <w:rsid w:val="00AD2870"/>
    <w:rsid w:val="00B1590F"/>
    <w:rsid w:val="00B21EF5"/>
    <w:rsid w:val="00B93EB5"/>
    <w:rsid w:val="00BB2E75"/>
    <w:rsid w:val="00BC178B"/>
    <w:rsid w:val="00BD3F03"/>
    <w:rsid w:val="00BF534E"/>
    <w:rsid w:val="00C0704D"/>
    <w:rsid w:val="00C2568B"/>
    <w:rsid w:val="00C25722"/>
    <w:rsid w:val="00C618DB"/>
    <w:rsid w:val="00CA2FBF"/>
    <w:rsid w:val="00CA7A7E"/>
    <w:rsid w:val="00CD5C9C"/>
    <w:rsid w:val="00D11007"/>
    <w:rsid w:val="00D12415"/>
    <w:rsid w:val="00D17EB1"/>
    <w:rsid w:val="00D2449B"/>
    <w:rsid w:val="00D2450F"/>
    <w:rsid w:val="00D43B7F"/>
    <w:rsid w:val="00D54E67"/>
    <w:rsid w:val="00D77B27"/>
    <w:rsid w:val="00DD2E18"/>
    <w:rsid w:val="00DD62F6"/>
    <w:rsid w:val="00E0413A"/>
    <w:rsid w:val="00E10180"/>
    <w:rsid w:val="00E24DFE"/>
    <w:rsid w:val="00E27134"/>
    <w:rsid w:val="00E37341"/>
    <w:rsid w:val="00E46243"/>
    <w:rsid w:val="00E66534"/>
    <w:rsid w:val="00E72F6C"/>
    <w:rsid w:val="00EA09F9"/>
    <w:rsid w:val="00EC23C7"/>
    <w:rsid w:val="00ED00B7"/>
    <w:rsid w:val="00EF35BB"/>
    <w:rsid w:val="00EF44E6"/>
    <w:rsid w:val="00F11C2A"/>
    <w:rsid w:val="00F6267A"/>
    <w:rsid w:val="00F7288B"/>
    <w:rsid w:val="00F74557"/>
    <w:rsid w:val="00FB3879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Kilmartin</dc:creator>
  <cp:lastModifiedBy>Jane Tucker</cp:lastModifiedBy>
  <cp:revision>2</cp:revision>
  <cp:lastPrinted>2024-05-20T09:00:00Z</cp:lastPrinted>
  <dcterms:created xsi:type="dcterms:W3CDTF">2025-04-04T14:32:00Z</dcterms:created>
  <dcterms:modified xsi:type="dcterms:W3CDTF">2025-04-04T14:32:00Z</dcterms:modified>
</cp:coreProperties>
</file>