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15DD0044" w:rsidR="004936A6" w:rsidRPr="00FD336B" w:rsidRDefault="00814B76"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0C98A218" w:rsidR="004936A6" w:rsidRPr="00FD336B" w:rsidRDefault="00BB6B32" w:rsidP="00360256">
            <w:pPr>
              <w:jc w:val="center"/>
              <w:rPr>
                <w:rFonts w:ascii="Calibri" w:hAnsi="Calibri"/>
                <w:szCs w:val="22"/>
              </w:rPr>
            </w:pPr>
            <w:r>
              <w:rPr>
                <w:rFonts w:ascii="Calibri" w:hAnsi="Calibri"/>
                <w:szCs w:val="22"/>
              </w:rPr>
              <w:t>17/04/25</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3068B81F" w:rsidR="004936A6" w:rsidRPr="008C75E4" w:rsidRDefault="000A79B0"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415DF005" w:rsidR="004936A6" w:rsidRPr="008C75E4" w:rsidRDefault="000A79B0" w:rsidP="00D2449B">
            <w:pPr>
              <w:jc w:val="center"/>
              <w:rPr>
                <w:rFonts w:ascii="Calibri" w:hAnsi="Calibri"/>
                <w:b/>
                <w:szCs w:val="22"/>
              </w:rPr>
            </w:pPr>
            <w:r>
              <w:rPr>
                <w:rFonts w:ascii="Calibri" w:hAnsi="Calibri"/>
                <w:b/>
                <w:szCs w:val="22"/>
              </w:rPr>
              <w:t>22/4/25</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40C1423B" w:rsidR="004A5EA9" w:rsidRPr="008C75E4" w:rsidRDefault="00814B76" w:rsidP="008F6B58">
            <w:pPr>
              <w:rPr>
                <w:rFonts w:ascii="Calibri" w:hAnsi="Calibri"/>
                <w:szCs w:val="22"/>
              </w:rPr>
            </w:pPr>
            <w:r>
              <w:rPr>
                <w:rFonts w:ascii="Calibri" w:hAnsi="Calibri"/>
                <w:szCs w:val="22"/>
              </w:rPr>
              <w:t>3/2025/0247</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6E8184EB" w:rsidR="004A5EA9" w:rsidRPr="00FD336B" w:rsidRDefault="00814B76"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03E24470" w:rsidR="00FD334A" w:rsidRPr="005C69DF" w:rsidRDefault="00855835" w:rsidP="006F74F0">
            <w:pPr>
              <w:jc w:val="center"/>
              <w:rPr>
                <w:rFonts w:ascii="Calibri" w:hAnsi="Calibri"/>
                <w:b/>
                <w:szCs w:val="22"/>
              </w:rPr>
            </w:pPr>
            <w:r>
              <w:rPr>
                <w:rFonts w:ascii="Calibri" w:hAnsi="Calibri"/>
                <w:b/>
                <w:szCs w:val="22"/>
              </w:rPr>
              <w:t>PRIOR APPROVAL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01BAD00C" w:rsidR="004A5EA9" w:rsidRPr="008C75E4" w:rsidRDefault="00814B76">
            <w:pPr>
              <w:rPr>
                <w:rFonts w:ascii="Calibri" w:hAnsi="Calibri"/>
                <w:szCs w:val="22"/>
              </w:rPr>
            </w:pPr>
            <w:r>
              <w:rPr>
                <w:rFonts w:ascii="Calibri" w:hAnsi="Calibri"/>
                <w:szCs w:val="22"/>
              </w:rPr>
              <w:t xml:space="preserve">Proposed agricultural building for livestock (calf rearing) 32m long, 15.24m wide, 7.07m high to ridge, 4.57m high to eaves.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7A6F309D" w:rsidR="002A01CF" w:rsidRPr="00517149" w:rsidRDefault="00814B76" w:rsidP="00A42E82">
            <w:pPr>
              <w:rPr>
                <w:rFonts w:ascii="Calibri" w:hAnsi="Calibri"/>
                <w:szCs w:val="22"/>
              </w:rPr>
            </w:pPr>
            <w:r>
              <w:rPr>
                <w:rFonts w:ascii="Calibri" w:hAnsi="Calibri"/>
                <w:szCs w:val="22"/>
              </w:rPr>
              <w:t xml:space="preserve">Carr Side Farm, Rock Brow, Chipping, PR3 2TS. </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0F6078AB" w14:textId="77777777" w:rsidR="001946E0"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p w14:paraId="591A92A8" w14:textId="232982A5" w:rsidR="00A96AF8" w:rsidRPr="0096313B" w:rsidRDefault="00A96AF8" w:rsidP="009E6B66">
            <w:pPr>
              <w:pStyle w:val="PLANNING"/>
              <w:rPr>
                <w:rFonts w:ascii="Calibri" w:hAnsi="Calibri"/>
                <w:szCs w:val="22"/>
              </w:rPr>
            </w:pP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C62571" w:rsidRDefault="00C0704D" w:rsidP="00A96AF8">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3D14599E" w14:textId="77777777" w:rsidR="00E14B99" w:rsidRDefault="00A96AF8" w:rsidP="00A96AF8">
            <w:pPr>
              <w:pStyle w:val="Heading1"/>
              <w:shd w:val="clear" w:color="auto" w:fill="FFFFFF"/>
              <w:spacing w:before="120" w:beforeAutospacing="0" w:after="91" w:afterAutospacing="0"/>
              <w:textAlignment w:val="baseline"/>
              <w:rPr>
                <w:rFonts w:ascii="Calibri" w:hAnsi="Calibri"/>
                <w:b w:val="0"/>
                <w:sz w:val="22"/>
                <w:szCs w:val="8"/>
              </w:rPr>
            </w:pPr>
            <w:r>
              <w:rPr>
                <w:rFonts w:ascii="Calibri" w:hAnsi="Calibri"/>
                <w:b w:val="0"/>
                <w:sz w:val="22"/>
                <w:szCs w:val="8"/>
              </w:rPr>
              <w:t xml:space="preserve">3/2006/0247: Proposed external horse walker fenced with post and rail fencing (Approved). </w:t>
            </w:r>
          </w:p>
          <w:p w14:paraId="6B293550" w14:textId="025E33A1" w:rsidR="00A96AF8" w:rsidRPr="00814B76" w:rsidRDefault="00A96AF8" w:rsidP="00A96AF8">
            <w:pPr>
              <w:pStyle w:val="Heading1"/>
              <w:shd w:val="clear" w:color="auto" w:fill="FFFFFF"/>
              <w:spacing w:before="120" w:beforeAutospacing="0" w:after="91" w:afterAutospacing="0"/>
              <w:textAlignment w:val="baseline"/>
              <w:rPr>
                <w:rFonts w:ascii="Calibri" w:hAnsi="Calibri"/>
                <w:b w:val="0"/>
                <w:sz w:val="22"/>
                <w:szCs w:val="8"/>
              </w:rPr>
            </w:pPr>
            <w:r>
              <w:rPr>
                <w:rFonts w:ascii="Calibri" w:hAnsi="Calibri"/>
                <w:b w:val="0"/>
                <w:sz w:val="22"/>
                <w:szCs w:val="8"/>
              </w:rPr>
              <w:t xml:space="preserve">3/2004/0036: Erection of stabled and indoor riding arena, laying out of parking area and formation of rear access with use as livery (Approved).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25441CA8" w14:textId="77777777" w:rsidR="0096313B" w:rsidRDefault="0096313B" w:rsidP="00814B76">
            <w:pPr>
              <w:pStyle w:val="Header"/>
              <w:tabs>
                <w:tab w:val="left" w:pos="720"/>
              </w:tabs>
              <w:jc w:val="both"/>
              <w:rPr>
                <w:rFonts w:ascii="Calibri" w:hAnsi="Calibri"/>
                <w:bCs/>
                <w:szCs w:val="22"/>
              </w:rPr>
            </w:pPr>
          </w:p>
          <w:p w14:paraId="397DB89F" w14:textId="682280A0" w:rsidR="005933F0" w:rsidRDefault="005933F0" w:rsidP="00814B76">
            <w:pPr>
              <w:pStyle w:val="Header"/>
              <w:tabs>
                <w:tab w:val="left" w:pos="720"/>
              </w:tabs>
              <w:jc w:val="both"/>
              <w:rPr>
                <w:rFonts w:ascii="Calibri" w:hAnsi="Calibri"/>
                <w:bCs/>
                <w:szCs w:val="22"/>
              </w:rPr>
            </w:pPr>
            <w:r>
              <w:rPr>
                <w:rFonts w:ascii="Calibri" w:hAnsi="Calibri"/>
                <w:bCs/>
                <w:szCs w:val="22"/>
              </w:rPr>
              <w:t xml:space="preserve">The application relates to Carr Side Farm, an agricultural complex which incorporates numerous agricultural buildings and a farmhouse, accessed off Rock Brow. The farmstead is located approximately 2km south-east of the defined settlement area of Chipping and within the Forest of Bowland National Landscape. </w:t>
            </w:r>
          </w:p>
          <w:p w14:paraId="57786171" w14:textId="448474A7" w:rsidR="005933F0" w:rsidRPr="00814B76" w:rsidRDefault="005933F0" w:rsidP="00814B76">
            <w:pPr>
              <w:pStyle w:val="Header"/>
              <w:tabs>
                <w:tab w:val="left" w:pos="720"/>
              </w:tabs>
              <w:jc w:val="both"/>
              <w:rPr>
                <w:rFonts w:ascii="Calibri" w:hAnsi="Calibri"/>
                <w:bCs/>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7F49632B" w14:textId="1D57989B" w:rsidR="00723888" w:rsidRPr="00F012FA" w:rsidRDefault="005933F0" w:rsidP="00235519">
            <w:pPr>
              <w:pStyle w:val="Header"/>
              <w:tabs>
                <w:tab w:val="clear" w:pos="4153"/>
                <w:tab w:val="clear" w:pos="8306"/>
              </w:tabs>
              <w:jc w:val="both"/>
              <w:rPr>
                <w:rFonts w:ascii="Calibri" w:hAnsi="Calibri"/>
                <w:szCs w:val="22"/>
              </w:rPr>
            </w:pPr>
            <w:r>
              <w:rPr>
                <w:rFonts w:ascii="Calibri" w:hAnsi="Calibri"/>
                <w:szCs w:val="22"/>
              </w:rPr>
              <w:t xml:space="preserve">The application seeks a determination as to whether the Council’s prior approval is required for the construction of a proposed livestock building measuring 32m by 15.2m, with an eaves and ridge height of </w:t>
            </w:r>
            <w:r w:rsidR="00AF57C1">
              <w:rPr>
                <w:rFonts w:ascii="Calibri" w:hAnsi="Calibri"/>
                <w:szCs w:val="22"/>
              </w:rPr>
              <w:t>6</w:t>
            </w:r>
            <w:r>
              <w:rPr>
                <w:rFonts w:ascii="Calibri" w:hAnsi="Calibri"/>
                <w:szCs w:val="22"/>
              </w:rPr>
              <w:t>m and 4.</w:t>
            </w:r>
            <w:r w:rsidR="00AF57C1">
              <w:rPr>
                <w:rFonts w:ascii="Calibri" w:hAnsi="Calibri"/>
                <w:szCs w:val="22"/>
              </w:rPr>
              <w:t>5</w:t>
            </w:r>
            <w:r>
              <w:rPr>
                <w:rFonts w:ascii="Calibri" w:hAnsi="Calibri"/>
                <w:szCs w:val="22"/>
              </w:rPr>
              <w:t xml:space="preserve">m respectively. </w:t>
            </w:r>
            <w:r w:rsidR="00723888">
              <w:rPr>
                <w:rFonts w:ascii="Calibri" w:hAnsi="Calibri"/>
                <w:szCs w:val="22"/>
              </w:rPr>
              <w:t xml:space="preserve">The building would be a steel portal </w:t>
            </w:r>
            <w:r w:rsidR="00BB6B32">
              <w:rPr>
                <w:rFonts w:ascii="Calibri" w:hAnsi="Calibri"/>
                <w:szCs w:val="22"/>
              </w:rPr>
              <w:t>structure</w:t>
            </w:r>
            <w:r w:rsidR="00723888">
              <w:rPr>
                <w:rFonts w:ascii="Calibri" w:hAnsi="Calibri"/>
                <w:szCs w:val="22"/>
              </w:rPr>
              <w:t xml:space="preserve"> with pre-cast concrete panels and </w:t>
            </w:r>
            <w:r w:rsidR="00CF0566">
              <w:rPr>
                <w:rFonts w:ascii="Calibri" w:hAnsi="Calibri"/>
                <w:szCs w:val="22"/>
              </w:rPr>
              <w:t>green metal cladding to the external elevations</w:t>
            </w:r>
            <w:r w:rsidR="00723888">
              <w:rPr>
                <w:rFonts w:ascii="Calibri" w:hAnsi="Calibri"/>
                <w:szCs w:val="22"/>
              </w:rPr>
              <w:t xml:space="preserve"> and a </w:t>
            </w:r>
            <w:r w:rsidR="00CF0566">
              <w:rPr>
                <w:rFonts w:ascii="Calibri" w:hAnsi="Calibri"/>
                <w:szCs w:val="22"/>
              </w:rPr>
              <w:t xml:space="preserve">grey </w:t>
            </w:r>
            <w:r w:rsidR="00723888">
              <w:rPr>
                <w:rFonts w:ascii="Calibri" w:hAnsi="Calibri"/>
                <w:szCs w:val="22"/>
              </w:rPr>
              <w:t xml:space="preserve">fibre cement roof covering. </w:t>
            </w: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5933F0">
            <w:pPr>
              <w:pStyle w:val="Header"/>
              <w:jc w:val="both"/>
              <w:rPr>
                <w:rFonts w:ascii="Calibri" w:hAnsi="Calibri"/>
                <w:b/>
                <w:szCs w:val="22"/>
              </w:rPr>
            </w:pPr>
          </w:p>
          <w:p w14:paraId="543D7D6B" w14:textId="3B4BD7FA" w:rsidR="006A33E9" w:rsidRPr="006A33E9" w:rsidRDefault="006A33E9" w:rsidP="005933F0">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5933F0">
            <w:pPr>
              <w:pStyle w:val="Header"/>
              <w:jc w:val="both"/>
              <w:rPr>
                <w:rFonts w:ascii="Calibri" w:hAnsi="Calibri"/>
                <w:szCs w:val="22"/>
              </w:rPr>
            </w:pPr>
          </w:p>
          <w:p w14:paraId="0207CA9F" w14:textId="77777777" w:rsidR="00235519" w:rsidRDefault="00235519" w:rsidP="005933F0">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5933F0">
            <w:pPr>
              <w:pStyle w:val="Header"/>
              <w:jc w:val="both"/>
              <w:rPr>
                <w:rFonts w:ascii="Calibri" w:hAnsi="Calibri"/>
                <w:szCs w:val="22"/>
              </w:rPr>
            </w:pPr>
            <w:r w:rsidRPr="00E306BC">
              <w:rPr>
                <w:rFonts w:ascii="Calibri" w:hAnsi="Calibri"/>
                <w:szCs w:val="22"/>
              </w:rPr>
              <w:t xml:space="preserve"> </w:t>
            </w:r>
          </w:p>
          <w:p w14:paraId="6D263521" w14:textId="09B2540B" w:rsidR="00235519" w:rsidRPr="00723888" w:rsidRDefault="00E306BC" w:rsidP="005933F0">
            <w:pPr>
              <w:pStyle w:val="Header"/>
              <w:jc w:val="both"/>
              <w:rPr>
                <w:rFonts w:ascii="Calibri" w:hAnsi="Calibri"/>
                <w:szCs w:val="22"/>
              </w:rPr>
            </w:pPr>
            <w:r w:rsidRPr="00723888">
              <w:rPr>
                <w:rFonts w:ascii="Calibri" w:hAnsi="Calibri"/>
                <w:szCs w:val="22"/>
              </w:rPr>
              <w:t xml:space="preserve">The first of those requirements is that the development must be </w:t>
            </w:r>
            <w:r w:rsidR="00235519" w:rsidRPr="00723888">
              <w:rPr>
                <w:rFonts w:ascii="Calibri" w:hAnsi="Calibri"/>
                <w:szCs w:val="22"/>
              </w:rPr>
              <w:t xml:space="preserve">‘carried out on an agricultural unit of 5 hectares or more’ and be </w:t>
            </w:r>
            <w:r w:rsidRPr="00723888">
              <w:rPr>
                <w:rFonts w:ascii="Calibri" w:hAnsi="Calibri"/>
                <w:szCs w:val="22"/>
              </w:rPr>
              <w:t xml:space="preserve">‘reasonably necessary for the purposes of agriculture within that unit’. </w:t>
            </w:r>
          </w:p>
          <w:p w14:paraId="47A643C7" w14:textId="77777777" w:rsidR="00723888" w:rsidRDefault="00723888" w:rsidP="005933F0">
            <w:pPr>
              <w:pStyle w:val="Header"/>
              <w:jc w:val="both"/>
              <w:rPr>
                <w:rFonts w:ascii="Calibri" w:hAnsi="Calibri"/>
                <w:color w:val="FF0000"/>
                <w:szCs w:val="22"/>
              </w:rPr>
            </w:pPr>
          </w:p>
          <w:p w14:paraId="411BD22F" w14:textId="247BFC47" w:rsidR="00814B76" w:rsidRPr="00BB6B32" w:rsidRDefault="00814B76" w:rsidP="005933F0">
            <w:pPr>
              <w:pStyle w:val="Header"/>
              <w:jc w:val="both"/>
              <w:rPr>
                <w:rFonts w:ascii="Calibri" w:hAnsi="Calibri"/>
                <w:szCs w:val="22"/>
              </w:rPr>
            </w:pPr>
            <w:r w:rsidRPr="00BB6B32">
              <w:rPr>
                <w:rFonts w:ascii="Calibri" w:hAnsi="Calibri"/>
                <w:szCs w:val="22"/>
              </w:rPr>
              <w:t xml:space="preserve">The submitted supporting statements states that the agricultural holding extends 116 hectares in area </w:t>
            </w:r>
            <w:r w:rsidR="00BB6B32" w:rsidRPr="00BB6B32">
              <w:rPr>
                <w:rFonts w:ascii="Calibri" w:hAnsi="Calibri"/>
                <w:szCs w:val="22"/>
              </w:rPr>
              <w:t>and supports</w:t>
            </w:r>
            <w:r w:rsidRPr="00BB6B32">
              <w:rPr>
                <w:rFonts w:ascii="Calibri" w:hAnsi="Calibri"/>
                <w:szCs w:val="22"/>
              </w:rPr>
              <w:t xml:space="preserve"> livestock enterprise comprising approximately 328 dairy cows</w:t>
            </w:r>
            <w:r w:rsidR="00723888" w:rsidRPr="00BB6B32">
              <w:rPr>
                <w:rFonts w:ascii="Calibri" w:hAnsi="Calibri"/>
                <w:szCs w:val="22"/>
              </w:rPr>
              <w:t xml:space="preserve">. </w:t>
            </w:r>
          </w:p>
          <w:p w14:paraId="1072DB8E" w14:textId="77777777" w:rsidR="005933F0" w:rsidRPr="00BB6B32" w:rsidRDefault="005933F0" w:rsidP="005933F0">
            <w:pPr>
              <w:pStyle w:val="Header"/>
              <w:jc w:val="both"/>
              <w:rPr>
                <w:rFonts w:ascii="Calibri" w:hAnsi="Calibri"/>
                <w:szCs w:val="22"/>
              </w:rPr>
            </w:pPr>
          </w:p>
          <w:p w14:paraId="1FD09398" w14:textId="6B4E5FDE" w:rsidR="005933F0" w:rsidRPr="00BB6B32" w:rsidRDefault="002C5E9B" w:rsidP="005933F0">
            <w:pPr>
              <w:pStyle w:val="Header"/>
              <w:jc w:val="both"/>
              <w:rPr>
                <w:rFonts w:ascii="Calibri" w:hAnsi="Calibri"/>
                <w:szCs w:val="22"/>
              </w:rPr>
            </w:pPr>
            <w:r w:rsidRPr="00BB6B32">
              <w:rPr>
                <w:rFonts w:ascii="Calibri" w:hAnsi="Calibri"/>
                <w:szCs w:val="22"/>
              </w:rPr>
              <w:t>The statement goes on to state that the</w:t>
            </w:r>
            <w:r w:rsidR="005933F0" w:rsidRPr="00BB6B32">
              <w:rPr>
                <w:rFonts w:ascii="Calibri" w:hAnsi="Calibri"/>
                <w:szCs w:val="22"/>
              </w:rPr>
              <w:t xml:space="preserve"> applicant requires a</w:t>
            </w:r>
            <w:r w:rsidRPr="00BB6B32">
              <w:rPr>
                <w:rFonts w:ascii="Calibri" w:hAnsi="Calibri"/>
                <w:szCs w:val="22"/>
              </w:rPr>
              <w:t xml:space="preserve"> new</w:t>
            </w:r>
            <w:r w:rsidR="005933F0" w:rsidRPr="00BB6B32">
              <w:rPr>
                <w:rFonts w:ascii="Calibri" w:hAnsi="Calibri"/>
                <w:szCs w:val="22"/>
              </w:rPr>
              <w:t xml:space="preserve"> purpose-built livestock building for the housing and rearing of calves produced by the adult female dairy cattle</w:t>
            </w:r>
            <w:r w:rsidRPr="00BB6B32">
              <w:rPr>
                <w:rFonts w:ascii="Calibri" w:hAnsi="Calibri"/>
                <w:szCs w:val="22"/>
              </w:rPr>
              <w:t xml:space="preserve"> in order to ensure continued compliance with the relevant UK Government regulations for the keeping and housing of livestock. </w:t>
            </w:r>
            <w:r w:rsidR="00BB6B32" w:rsidRPr="00BB6B32">
              <w:rPr>
                <w:rFonts w:ascii="Calibri" w:hAnsi="Calibri"/>
                <w:szCs w:val="22"/>
              </w:rPr>
              <w:t xml:space="preserve">It is stated that the requirement is encouraged by the Governments Farming Transformation Fund which provides grant funding to eligible farmers wishing to provide specialist calf housing. </w:t>
            </w:r>
          </w:p>
          <w:p w14:paraId="3BCA7CB0" w14:textId="77777777" w:rsidR="00814B76" w:rsidRDefault="00814B76" w:rsidP="005933F0">
            <w:pPr>
              <w:pStyle w:val="Header"/>
              <w:jc w:val="both"/>
              <w:rPr>
                <w:rFonts w:ascii="Calibri" w:hAnsi="Calibri"/>
                <w:b/>
                <w:bCs/>
                <w:szCs w:val="22"/>
              </w:rPr>
            </w:pPr>
          </w:p>
          <w:p w14:paraId="658DF9D3" w14:textId="24B89E4A" w:rsidR="00E306BC" w:rsidRPr="00E306BC" w:rsidRDefault="00415BFD" w:rsidP="005933F0">
            <w:pPr>
              <w:pStyle w:val="Header"/>
              <w:jc w:val="both"/>
              <w:rPr>
                <w:rFonts w:ascii="Calibri" w:hAnsi="Calibri"/>
                <w:szCs w:val="22"/>
              </w:rPr>
            </w:pPr>
            <w:r w:rsidRPr="00235519">
              <w:rPr>
                <w:rFonts w:ascii="Calibri" w:hAnsi="Calibri"/>
                <w:b/>
                <w:bCs/>
                <w:szCs w:val="22"/>
              </w:rPr>
              <w:t xml:space="preserve">Accordingly, the proposed development </w:t>
            </w:r>
            <w:r w:rsidR="00E306BC" w:rsidRPr="00235519">
              <w:rPr>
                <w:rFonts w:ascii="Calibri" w:hAnsi="Calibri"/>
                <w:b/>
                <w:bCs/>
                <w:szCs w:val="22"/>
              </w:rPr>
              <w:t xml:space="preserve">is considered </w:t>
            </w:r>
            <w:r w:rsidR="00403EAE" w:rsidRPr="00235519">
              <w:rPr>
                <w:rFonts w:ascii="Calibri" w:hAnsi="Calibri"/>
                <w:b/>
                <w:bCs/>
                <w:szCs w:val="22"/>
              </w:rPr>
              <w:t xml:space="preserve">to be </w:t>
            </w:r>
            <w:r w:rsidR="00E306BC" w:rsidRPr="00235519">
              <w:rPr>
                <w:rFonts w:ascii="Calibri" w:hAnsi="Calibri"/>
                <w:b/>
                <w:bCs/>
                <w:szCs w:val="22"/>
              </w:rPr>
              <w:t>reasonably necessary for the purposes of agriculture</w:t>
            </w:r>
            <w:r w:rsidRPr="00235519">
              <w:rPr>
                <w:rFonts w:ascii="Calibri" w:hAnsi="Calibri"/>
                <w:b/>
                <w:bCs/>
                <w:szCs w:val="22"/>
              </w:rPr>
              <w:t xml:space="preserve"> in this instance</w:t>
            </w:r>
            <w:r w:rsidR="001B398D">
              <w:rPr>
                <w:rFonts w:ascii="Calibri" w:hAnsi="Calibri"/>
                <w:b/>
                <w:bCs/>
                <w:szCs w:val="22"/>
              </w:rPr>
              <w:t>.</w:t>
            </w:r>
          </w:p>
          <w:p w14:paraId="12B5FBE1" w14:textId="77777777" w:rsidR="00E306BC" w:rsidRPr="00E306BC" w:rsidRDefault="00E306BC" w:rsidP="005933F0">
            <w:pPr>
              <w:pStyle w:val="Header"/>
              <w:jc w:val="both"/>
              <w:rPr>
                <w:rFonts w:ascii="Calibri" w:hAnsi="Calibri"/>
                <w:szCs w:val="22"/>
              </w:rPr>
            </w:pPr>
          </w:p>
          <w:p w14:paraId="6A8CB39D" w14:textId="4A996335" w:rsidR="00E306BC" w:rsidRPr="00E306BC" w:rsidRDefault="00235519" w:rsidP="005933F0">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5933F0">
            <w:pPr>
              <w:pStyle w:val="Header"/>
              <w:jc w:val="both"/>
              <w:rPr>
                <w:rFonts w:ascii="Calibri" w:hAnsi="Calibri"/>
                <w:szCs w:val="22"/>
              </w:rPr>
            </w:pPr>
          </w:p>
          <w:p w14:paraId="50CA6B69" w14:textId="636E9DFB" w:rsidR="00E306BC" w:rsidRPr="00E306BC" w:rsidRDefault="00E306BC" w:rsidP="005933F0">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5933F0">
            <w:pPr>
              <w:pStyle w:val="Header"/>
              <w:jc w:val="both"/>
              <w:rPr>
                <w:rFonts w:ascii="Calibri" w:hAnsi="Calibri"/>
                <w:szCs w:val="22"/>
              </w:rPr>
            </w:pPr>
          </w:p>
          <w:p w14:paraId="1C116C26" w14:textId="1829576B" w:rsidR="00BE2E16" w:rsidRPr="006272EB" w:rsidRDefault="00723888" w:rsidP="005933F0">
            <w:pPr>
              <w:pStyle w:val="Header"/>
              <w:jc w:val="both"/>
              <w:rPr>
                <w:rFonts w:ascii="Calibri" w:hAnsi="Calibri"/>
                <w:b/>
                <w:szCs w:val="22"/>
              </w:rPr>
            </w:pPr>
            <w:r>
              <w:rPr>
                <w:rFonts w:ascii="Calibri" w:hAnsi="Calibri"/>
                <w:b/>
                <w:szCs w:val="22"/>
              </w:rPr>
              <w:t xml:space="preserve">The development would be carried out on the main parcel of land which is greater than 1 hectare in area. </w:t>
            </w:r>
          </w:p>
          <w:p w14:paraId="39E18754" w14:textId="77777777" w:rsidR="00BE2E16" w:rsidRPr="00E306BC" w:rsidRDefault="00BE2E16" w:rsidP="005933F0">
            <w:pPr>
              <w:pStyle w:val="Header"/>
              <w:jc w:val="both"/>
              <w:rPr>
                <w:rFonts w:ascii="Calibri" w:hAnsi="Calibri"/>
                <w:szCs w:val="22"/>
              </w:rPr>
            </w:pPr>
          </w:p>
          <w:p w14:paraId="4E9E2584" w14:textId="3A07FAB1" w:rsidR="00E306BC" w:rsidRPr="00E306BC" w:rsidRDefault="00E306BC" w:rsidP="005933F0">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5933F0">
            <w:pPr>
              <w:pStyle w:val="Header"/>
              <w:jc w:val="both"/>
              <w:rPr>
                <w:rFonts w:ascii="Calibri" w:hAnsi="Calibri"/>
                <w:szCs w:val="22"/>
              </w:rPr>
            </w:pPr>
          </w:p>
          <w:p w14:paraId="1D55EDC2" w14:textId="6E54ACB5" w:rsidR="006272EB" w:rsidRDefault="00723888" w:rsidP="005933F0">
            <w:pPr>
              <w:pStyle w:val="Header"/>
              <w:jc w:val="both"/>
              <w:rPr>
                <w:rFonts w:ascii="Calibri" w:hAnsi="Calibri"/>
                <w:b/>
                <w:szCs w:val="22"/>
              </w:rPr>
            </w:pPr>
            <w:r>
              <w:rPr>
                <w:rFonts w:ascii="Calibri" w:hAnsi="Calibri"/>
                <w:b/>
                <w:szCs w:val="22"/>
              </w:rPr>
              <w:t>No development on this site has been carried out under Class Q or S o</w:t>
            </w:r>
            <w:r w:rsidR="005A05F8">
              <w:rPr>
                <w:rFonts w:ascii="Calibri" w:hAnsi="Calibri"/>
                <w:b/>
                <w:szCs w:val="22"/>
              </w:rPr>
              <w:t>f</w:t>
            </w:r>
            <w:r>
              <w:rPr>
                <w:rFonts w:ascii="Calibri" w:hAnsi="Calibri"/>
                <w:b/>
                <w:szCs w:val="22"/>
              </w:rPr>
              <w:t xml:space="preserve"> Part 3 of this Schedule. </w:t>
            </w:r>
          </w:p>
          <w:p w14:paraId="28D66167" w14:textId="77777777" w:rsidR="00723888" w:rsidRPr="00E306BC" w:rsidRDefault="00723888" w:rsidP="005933F0">
            <w:pPr>
              <w:pStyle w:val="Header"/>
              <w:jc w:val="both"/>
              <w:rPr>
                <w:rFonts w:ascii="Calibri" w:hAnsi="Calibri"/>
                <w:szCs w:val="22"/>
              </w:rPr>
            </w:pPr>
          </w:p>
          <w:p w14:paraId="6A71953B" w14:textId="4FC40DA8" w:rsidR="00E306BC" w:rsidRDefault="00E306BC" w:rsidP="005933F0">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5933F0">
            <w:pPr>
              <w:pStyle w:val="Header"/>
              <w:jc w:val="both"/>
              <w:rPr>
                <w:rFonts w:ascii="Calibri" w:hAnsi="Calibri"/>
                <w:szCs w:val="22"/>
              </w:rPr>
            </w:pPr>
          </w:p>
          <w:p w14:paraId="25AF9E85" w14:textId="62341763" w:rsidR="00BE2E16" w:rsidRPr="006272EB" w:rsidRDefault="00723888" w:rsidP="005933F0">
            <w:pPr>
              <w:pStyle w:val="Header"/>
              <w:jc w:val="both"/>
              <w:rPr>
                <w:rFonts w:ascii="Calibri" w:hAnsi="Calibri"/>
                <w:b/>
                <w:szCs w:val="22"/>
              </w:rPr>
            </w:pPr>
            <w:r>
              <w:rPr>
                <w:rFonts w:ascii="Calibri" w:hAnsi="Calibri"/>
                <w:b/>
                <w:szCs w:val="22"/>
              </w:rPr>
              <w:t xml:space="preserve">The development does not include any works in relation to a dwelling. </w:t>
            </w:r>
          </w:p>
          <w:p w14:paraId="4F5A2180" w14:textId="77777777" w:rsidR="00113C84" w:rsidRPr="00E306BC" w:rsidRDefault="00113C84" w:rsidP="005933F0">
            <w:pPr>
              <w:pStyle w:val="Header"/>
              <w:jc w:val="both"/>
              <w:rPr>
                <w:rFonts w:ascii="Calibri" w:hAnsi="Calibri"/>
                <w:szCs w:val="22"/>
              </w:rPr>
            </w:pPr>
          </w:p>
          <w:p w14:paraId="2276EE39" w14:textId="77777777" w:rsidR="00E306BC" w:rsidRDefault="00E306BC" w:rsidP="005933F0">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5933F0">
            <w:pPr>
              <w:pStyle w:val="Header"/>
              <w:jc w:val="both"/>
              <w:rPr>
                <w:rFonts w:ascii="Calibri" w:hAnsi="Calibri"/>
                <w:szCs w:val="22"/>
              </w:rPr>
            </w:pPr>
          </w:p>
          <w:p w14:paraId="1BD9D48F" w14:textId="27D29130" w:rsidR="001B398D" w:rsidRDefault="00723888" w:rsidP="005933F0">
            <w:pPr>
              <w:pStyle w:val="Header"/>
              <w:jc w:val="both"/>
              <w:rPr>
                <w:rFonts w:ascii="Calibri" w:hAnsi="Calibri"/>
                <w:b/>
                <w:szCs w:val="22"/>
              </w:rPr>
            </w:pPr>
            <w:r>
              <w:rPr>
                <w:rFonts w:ascii="Calibri" w:hAnsi="Calibri"/>
                <w:b/>
                <w:szCs w:val="22"/>
              </w:rPr>
              <w:t xml:space="preserve">The proposal is for the construction of a livestock building. </w:t>
            </w:r>
          </w:p>
          <w:p w14:paraId="61BEB38E" w14:textId="77777777" w:rsidR="00723888" w:rsidRPr="00723888" w:rsidRDefault="00723888" w:rsidP="005933F0">
            <w:pPr>
              <w:pStyle w:val="Header"/>
              <w:jc w:val="both"/>
              <w:rPr>
                <w:rFonts w:ascii="Calibri" w:hAnsi="Calibri"/>
                <w:b/>
                <w:szCs w:val="22"/>
              </w:rPr>
            </w:pPr>
          </w:p>
          <w:p w14:paraId="3609F07C" w14:textId="24943F9C" w:rsidR="00E306BC" w:rsidRDefault="00E306BC" w:rsidP="005933F0">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5933F0">
            <w:pPr>
              <w:pStyle w:val="Header"/>
              <w:jc w:val="both"/>
              <w:rPr>
                <w:rFonts w:ascii="Calibri" w:hAnsi="Calibri"/>
                <w:szCs w:val="22"/>
              </w:rPr>
            </w:pPr>
          </w:p>
          <w:p w14:paraId="365B83EA" w14:textId="4B27CEB5" w:rsidR="00E306BC" w:rsidRDefault="00E306BC" w:rsidP="005933F0">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w:t>
            </w:r>
            <w:r w:rsidR="00560128">
              <w:rPr>
                <w:rFonts w:ascii="Calibri" w:hAnsi="Calibri"/>
                <w:szCs w:val="22"/>
              </w:rPr>
              <w:t xml:space="preserve"> would exceed 1000 square metres</w:t>
            </w:r>
            <w:r w:rsidRPr="00E306BC">
              <w:rPr>
                <w:rFonts w:ascii="Calibri" w:hAnsi="Calibri"/>
                <w:szCs w:val="22"/>
              </w:rPr>
              <w:t>; or</w:t>
            </w:r>
          </w:p>
          <w:p w14:paraId="57780261" w14:textId="77777777" w:rsidR="00A2637B" w:rsidRPr="00E306BC" w:rsidRDefault="00A2637B" w:rsidP="005933F0">
            <w:pPr>
              <w:pStyle w:val="Header"/>
              <w:jc w:val="both"/>
              <w:rPr>
                <w:rFonts w:ascii="Calibri" w:hAnsi="Calibri"/>
                <w:szCs w:val="22"/>
              </w:rPr>
            </w:pPr>
          </w:p>
          <w:p w14:paraId="6FE06AB1" w14:textId="5AA0CCE7" w:rsidR="00E306BC" w:rsidRPr="00E306BC" w:rsidRDefault="00E306BC" w:rsidP="005933F0">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560128">
              <w:rPr>
                <w:rFonts w:ascii="Calibri" w:hAnsi="Calibri"/>
                <w:szCs w:val="22"/>
              </w:rPr>
              <w:t>1500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5933F0">
            <w:pPr>
              <w:pStyle w:val="Header"/>
              <w:jc w:val="both"/>
              <w:rPr>
                <w:rFonts w:ascii="Calibri" w:hAnsi="Calibri"/>
                <w:szCs w:val="22"/>
              </w:rPr>
            </w:pPr>
          </w:p>
          <w:p w14:paraId="7290D915" w14:textId="2E1B8FC5" w:rsidR="00BE2E16" w:rsidRPr="006272EB" w:rsidRDefault="00723888" w:rsidP="005933F0">
            <w:pPr>
              <w:pStyle w:val="Header"/>
              <w:jc w:val="both"/>
              <w:rPr>
                <w:rFonts w:ascii="Calibri" w:hAnsi="Calibri"/>
                <w:b/>
                <w:szCs w:val="22"/>
              </w:rPr>
            </w:pPr>
            <w:r>
              <w:rPr>
                <w:rFonts w:ascii="Calibri" w:hAnsi="Calibri"/>
                <w:b/>
                <w:szCs w:val="22"/>
              </w:rPr>
              <w:t xml:space="preserve">The ground area covered by the proposed building would measure </w:t>
            </w:r>
            <w:r w:rsidR="00560128">
              <w:rPr>
                <w:rFonts w:ascii="Calibri" w:hAnsi="Calibri"/>
                <w:b/>
                <w:szCs w:val="22"/>
              </w:rPr>
              <w:t xml:space="preserve">approximately 488 square metres. </w:t>
            </w:r>
          </w:p>
          <w:p w14:paraId="74BF95AC" w14:textId="77777777" w:rsidR="001B398D" w:rsidRPr="00E306BC" w:rsidRDefault="001B398D" w:rsidP="005933F0">
            <w:pPr>
              <w:pStyle w:val="Header"/>
              <w:jc w:val="both"/>
              <w:rPr>
                <w:rFonts w:ascii="Calibri" w:hAnsi="Calibri"/>
                <w:szCs w:val="22"/>
              </w:rPr>
            </w:pPr>
          </w:p>
          <w:p w14:paraId="389F14BB" w14:textId="2EF3215B" w:rsidR="00E306BC" w:rsidRDefault="00E306BC" w:rsidP="005933F0">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5933F0">
            <w:pPr>
              <w:pStyle w:val="Header"/>
              <w:jc w:val="both"/>
              <w:rPr>
                <w:rFonts w:ascii="Calibri" w:hAnsi="Calibri"/>
                <w:szCs w:val="22"/>
              </w:rPr>
            </w:pPr>
          </w:p>
          <w:p w14:paraId="49EB1503" w14:textId="38918F4E" w:rsidR="00172A5B" w:rsidRDefault="001B398D" w:rsidP="005933F0">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5933F0">
            <w:pPr>
              <w:pStyle w:val="Header"/>
              <w:jc w:val="both"/>
              <w:rPr>
                <w:rFonts w:ascii="Calibri" w:hAnsi="Calibri"/>
                <w:b/>
                <w:bCs/>
                <w:szCs w:val="22"/>
              </w:rPr>
            </w:pPr>
          </w:p>
          <w:p w14:paraId="5A91EE14" w14:textId="77777777" w:rsidR="00E306BC" w:rsidRDefault="00E306BC" w:rsidP="005933F0">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Pr="00E306BC" w:rsidRDefault="00862B98" w:rsidP="005933F0">
            <w:pPr>
              <w:pStyle w:val="Header"/>
              <w:jc w:val="both"/>
              <w:rPr>
                <w:rFonts w:ascii="Calibri" w:hAnsi="Calibri"/>
                <w:szCs w:val="22"/>
              </w:rPr>
            </w:pPr>
          </w:p>
          <w:p w14:paraId="39E4EE3E" w14:textId="0D050FF5" w:rsidR="00BE2E16" w:rsidRPr="006272EB" w:rsidRDefault="00560128" w:rsidP="005933F0">
            <w:pPr>
              <w:pStyle w:val="Header"/>
              <w:jc w:val="both"/>
              <w:rPr>
                <w:rFonts w:ascii="Calibri" w:hAnsi="Calibri"/>
                <w:b/>
                <w:szCs w:val="22"/>
              </w:rPr>
            </w:pPr>
            <w:r>
              <w:rPr>
                <w:rFonts w:ascii="Calibri" w:hAnsi="Calibri"/>
                <w:b/>
                <w:szCs w:val="22"/>
              </w:rPr>
              <w:t xml:space="preserve">The highest part of the proposed building would measure </w:t>
            </w:r>
            <w:r w:rsidR="00AF57C1">
              <w:rPr>
                <w:rFonts w:ascii="Calibri" w:hAnsi="Calibri"/>
                <w:b/>
                <w:szCs w:val="22"/>
              </w:rPr>
              <w:t xml:space="preserve">6 metres. </w:t>
            </w:r>
          </w:p>
          <w:p w14:paraId="4785215A" w14:textId="77777777" w:rsidR="00BE2E16" w:rsidRDefault="00BE2E16" w:rsidP="005933F0">
            <w:pPr>
              <w:pStyle w:val="Header"/>
              <w:jc w:val="both"/>
              <w:rPr>
                <w:rFonts w:ascii="Calibri" w:hAnsi="Calibri"/>
                <w:szCs w:val="22"/>
              </w:rPr>
            </w:pPr>
          </w:p>
          <w:p w14:paraId="5A33FEBD" w14:textId="1E94A4DB" w:rsidR="00E306BC" w:rsidRPr="00E306BC" w:rsidRDefault="00E306BC" w:rsidP="005933F0">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5933F0">
            <w:pPr>
              <w:pStyle w:val="Header"/>
              <w:jc w:val="both"/>
              <w:rPr>
                <w:rFonts w:ascii="Calibri" w:hAnsi="Calibri"/>
                <w:szCs w:val="22"/>
              </w:rPr>
            </w:pPr>
          </w:p>
          <w:p w14:paraId="595D5196" w14:textId="31E97A99" w:rsidR="00BE2E16" w:rsidRPr="006272EB" w:rsidRDefault="00560128" w:rsidP="005933F0">
            <w:pPr>
              <w:pStyle w:val="Header"/>
              <w:jc w:val="both"/>
              <w:rPr>
                <w:rFonts w:ascii="Calibri" w:hAnsi="Calibri"/>
                <w:b/>
                <w:szCs w:val="22"/>
              </w:rPr>
            </w:pPr>
            <w:r>
              <w:rPr>
                <w:rFonts w:ascii="Calibri" w:hAnsi="Calibri"/>
                <w:b/>
                <w:szCs w:val="22"/>
              </w:rPr>
              <w:t xml:space="preserve">The proposal would not be within 25 metres of a metalled pat of trunk road or classified road. </w:t>
            </w:r>
          </w:p>
          <w:p w14:paraId="7CD18B16" w14:textId="415FE9B6" w:rsidR="009A5DB0" w:rsidRPr="00E306BC" w:rsidRDefault="009A5DB0" w:rsidP="005933F0">
            <w:pPr>
              <w:pStyle w:val="Header"/>
              <w:jc w:val="both"/>
              <w:rPr>
                <w:rFonts w:ascii="Calibri" w:hAnsi="Calibri"/>
                <w:szCs w:val="22"/>
              </w:rPr>
            </w:pPr>
          </w:p>
          <w:p w14:paraId="3F0A02B3" w14:textId="77777777" w:rsidR="00E306BC" w:rsidRPr="00E306BC" w:rsidRDefault="00E306BC" w:rsidP="005933F0">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5933F0">
            <w:pPr>
              <w:pStyle w:val="Header"/>
              <w:jc w:val="both"/>
              <w:rPr>
                <w:rFonts w:ascii="Calibri" w:hAnsi="Calibri"/>
                <w:szCs w:val="22"/>
              </w:rPr>
            </w:pPr>
          </w:p>
          <w:p w14:paraId="6C0FC3CD" w14:textId="0233E07A" w:rsidR="00BE2E16" w:rsidRPr="006272EB" w:rsidRDefault="00560128" w:rsidP="005933F0">
            <w:pPr>
              <w:pStyle w:val="Header"/>
              <w:jc w:val="both"/>
              <w:rPr>
                <w:rFonts w:ascii="Calibri" w:hAnsi="Calibri"/>
                <w:b/>
                <w:szCs w:val="22"/>
              </w:rPr>
            </w:pPr>
            <w:r>
              <w:rPr>
                <w:rFonts w:ascii="Calibri" w:hAnsi="Calibri"/>
                <w:b/>
                <w:szCs w:val="22"/>
              </w:rPr>
              <w:t xml:space="preserve">The development would be used for the accommodation of livestock; however, the building would be sited 400m away from the nearest residential dwelling, excluding the farmhouse associated with agricultural holding. </w:t>
            </w:r>
          </w:p>
          <w:p w14:paraId="6C4D6EDD" w14:textId="77777777" w:rsidR="00F66A73" w:rsidRPr="00E306BC" w:rsidRDefault="00F66A73" w:rsidP="005933F0">
            <w:pPr>
              <w:pStyle w:val="Header"/>
              <w:jc w:val="both"/>
              <w:rPr>
                <w:rFonts w:ascii="Calibri" w:hAnsi="Calibri"/>
                <w:szCs w:val="22"/>
              </w:rPr>
            </w:pPr>
          </w:p>
          <w:p w14:paraId="300D98E3" w14:textId="07EC1CA1" w:rsidR="00E306BC" w:rsidRDefault="00E306BC" w:rsidP="005933F0">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5933F0">
            <w:pPr>
              <w:pStyle w:val="Header"/>
              <w:jc w:val="both"/>
              <w:rPr>
                <w:rFonts w:ascii="Calibri" w:hAnsi="Calibri"/>
                <w:szCs w:val="22"/>
              </w:rPr>
            </w:pPr>
          </w:p>
          <w:p w14:paraId="33D78749" w14:textId="6E8B9CE3" w:rsidR="00BE2E16" w:rsidRPr="006272EB" w:rsidRDefault="00560128" w:rsidP="005933F0">
            <w:pPr>
              <w:pStyle w:val="Header"/>
              <w:jc w:val="both"/>
              <w:rPr>
                <w:rFonts w:ascii="Calibri" w:hAnsi="Calibri"/>
                <w:b/>
                <w:szCs w:val="22"/>
              </w:rPr>
            </w:pPr>
            <w:r>
              <w:rPr>
                <w:rFonts w:ascii="Calibri" w:hAnsi="Calibri"/>
                <w:b/>
                <w:szCs w:val="22"/>
              </w:rPr>
              <w:t xml:space="preserve">The proposal would </w:t>
            </w:r>
            <w:r w:rsidR="00A96AF8">
              <w:rPr>
                <w:rFonts w:ascii="Calibri" w:hAnsi="Calibri"/>
                <w:b/>
                <w:szCs w:val="22"/>
              </w:rPr>
              <w:t xml:space="preserve">not </w:t>
            </w:r>
            <w:r>
              <w:rPr>
                <w:rFonts w:ascii="Calibri" w:hAnsi="Calibri"/>
                <w:b/>
                <w:szCs w:val="22"/>
              </w:rPr>
              <w:t xml:space="preserve">involve excavations or engineering operations on or over article 2(4) land which are connected with fish farming. </w:t>
            </w:r>
          </w:p>
          <w:p w14:paraId="13C57A07" w14:textId="77777777" w:rsidR="001B398D" w:rsidRPr="00E306BC" w:rsidRDefault="001B398D" w:rsidP="005933F0">
            <w:pPr>
              <w:pStyle w:val="Header"/>
              <w:jc w:val="both"/>
              <w:rPr>
                <w:rFonts w:ascii="Calibri" w:hAnsi="Calibri"/>
                <w:szCs w:val="22"/>
              </w:rPr>
            </w:pPr>
          </w:p>
          <w:p w14:paraId="14AF09DE" w14:textId="1A283F20" w:rsidR="00E306BC" w:rsidRDefault="00E306BC" w:rsidP="005933F0">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5933F0">
            <w:pPr>
              <w:pStyle w:val="Header"/>
              <w:jc w:val="both"/>
              <w:rPr>
                <w:rFonts w:ascii="Calibri" w:hAnsi="Calibri"/>
                <w:szCs w:val="22"/>
              </w:rPr>
            </w:pPr>
          </w:p>
          <w:p w14:paraId="1A1A557A" w14:textId="49B5D8E0" w:rsidR="00E306BC" w:rsidRDefault="00E306BC" w:rsidP="005933F0">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5933F0">
            <w:pPr>
              <w:pStyle w:val="Header"/>
              <w:jc w:val="both"/>
              <w:rPr>
                <w:rFonts w:ascii="Calibri" w:hAnsi="Calibri"/>
                <w:szCs w:val="22"/>
              </w:rPr>
            </w:pPr>
          </w:p>
          <w:p w14:paraId="7F4DFC43" w14:textId="77777777" w:rsidR="00E306BC" w:rsidRPr="00E306BC" w:rsidRDefault="00E306BC" w:rsidP="005933F0">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5933F0">
            <w:pPr>
              <w:pStyle w:val="Header"/>
              <w:jc w:val="both"/>
              <w:rPr>
                <w:rFonts w:ascii="Calibri" w:hAnsi="Calibri"/>
                <w:szCs w:val="22"/>
              </w:rPr>
            </w:pPr>
          </w:p>
          <w:p w14:paraId="6E6DC014" w14:textId="2EE6D56C" w:rsidR="00BE2E16" w:rsidRPr="006272EB" w:rsidRDefault="00A96AF8" w:rsidP="005933F0">
            <w:pPr>
              <w:pStyle w:val="Header"/>
              <w:jc w:val="both"/>
              <w:rPr>
                <w:rFonts w:ascii="Calibri" w:hAnsi="Calibri"/>
                <w:b/>
                <w:szCs w:val="22"/>
              </w:rPr>
            </w:pPr>
            <w:r>
              <w:rPr>
                <w:rFonts w:ascii="Calibri" w:hAnsi="Calibri"/>
                <w:b/>
                <w:szCs w:val="22"/>
              </w:rPr>
              <w:t xml:space="preserve">The proposed development would not be used for storing fuel for or waste from a biomass boiler or an anaerobic digestion system. </w:t>
            </w:r>
          </w:p>
          <w:p w14:paraId="1EAB8EB3" w14:textId="77777777" w:rsidR="00DA3872" w:rsidRDefault="00DA3872" w:rsidP="005933F0">
            <w:pPr>
              <w:pStyle w:val="Header"/>
              <w:jc w:val="both"/>
              <w:rPr>
                <w:rFonts w:ascii="Calibri" w:hAnsi="Calibri"/>
                <w:b/>
                <w:bCs/>
                <w:szCs w:val="22"/>
              </w:rPr>
            </w:pPr>
          </w:p>
          <w:p w14:paraId="7965A8D7" w14:textId="4576AE48" w:rsidR="00DA3872" w:rsidRDefault="00DA3872" w:rsidP="005933F0">
            <w:pPr>
              <w:pStyle w:val="Header"/>
              <w:jc w:val="both"/>
              <w:rPr>
                <w:rFonts w:ascii="Calibri" w:hAnsi="Calibri"/>
                <w:b/>
                <w:bCs/>
                <w:szCs w:val="22"/>
              </w:rPr>
            </w:pPr>
            <w:r>
              <w:rPr>
                <w:rFonts w:ascii="Calibri" w:hAnsi="Calibri"/>
                <w:b/>
                <w:bCs/>
                <w:szCs w:val="22"/>
              </w:rPr>
              <w:t xml:space="preserve">The proposal satisfies criteria a) – k) </w:t>
            </w:r>
            <w:r w:rsidR="00A96AF8">
              <w:rPr>
                <w:rFonts w:ascii="Calibri" w:hAnsi="Calibri"/>
                <w:b/>
                <w:bCs/>
                <w:szCs w:val="22"/>
              </w:rPr>
              <w:t>and</w:t>
            </w:r>
            <w:r>
              <w:rPr>
                <w:rFonts w:ascii="Calibri" w:hAnsi="Calibri"/>
                <w:b/>
                <w:bCs/>
                <w:szCs w:val="22"/>
              </w:rPr>
              <w:t xml:space="preserve"> is</w:t>
            </w:r>
            <w:r w:rsidR="00A96AF8">
              <w:rPr>
                <w:rFonts w:ascii="Calibri" w:hAnsi="Calibri"/>
                <w:b/>
                <w:bCs/>
                <w:szCs w:val="22"/>
              </w:rPr>
              <w:t xml:space="preserve"> therefore</w:t>
            </w:r>
            <w:r>
              <w:rPr>
                <w:rFonts w:ascii="Calibri" w:hAnsi="Calibri"/>
                <w:b/>
                <w:bCs/>
                <w:szCs w:val="22"/>
              </w:rPr>
              <w:t xml:space="preserve"> defined as permitted development</w:t>
            </w:r>
            <w:r w:rsidR="00A96AF8">
              <w:rPr>
                <w:rFonts w:ascii="Calibri" w:hAnsi="Calibri"/>
                <w:b/>
                <w:bCs/>
                <w:szCs w:val="22"/>
              </w:rPr>
              <w:t>.</w:t>
            </w:r>
          </w:p>
          <w:p w14:paraId="4C0B4793" w14:textId="77777777" w:rsidR="00DA3872" w:rsidRDefault="00DA3872" w:rsidP="005933F0">
            <w:pPr>
              <w:pStyle w:val="Header"/>
              <w:jc w:val="both"/>
              <w:rPr>
                <w:rFonts w:ascii="Calibri" w:hAnsi="Calibri"/>
                <w:b/>
                <w:bCs/>
                <w:szCs w:val="22"/>
              </w:rPr>
            </w:pPr>
          </w:p>
          <w:p w14:paraId="67C5BBD3" w14:textId="77777777" w:rsidR="00DA3872" w:rsidRPr="006A33E9" w:rsidRDefault="00DA3872" w:rsidP="005933F0">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5933F0">
            <w:pPr>
              <w:pStyle w:val="Header"/>
              <w:jc w:val="both"/>
              <w:rPr>
                <w:rFonts w:ascii="Calibri" w:hAnsi="Calibri"/>
                <w:b/>
                <w:bCs/>
                <w:szCs w:val="22"/>
              </w:rPr>
            </w:pPr>
          </w:p>
          <w:p w14:paraId="11AA98D1" w14:textId="77777777" w:rsidR="00DA3872" w:rsidRPr="006A33E9" w:rsidRDefault="00DA3872" w:rsidP="005933F0">
            <w:pPr>
              <w:pStyle w:val="Header"/>
              <w:jc w:val="both"/>
              <w:rPr>
                <w:rFonts w:ascii="Calibri" w:hAnsi="Calibri"/>
                <w:szCs w:val="22"/>
              </w:rPr>
            </w:pPr>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5933F0">
            <w:pPr>
              <w:pStyle w:val="Header"/>
              <w:jc w:val="both"/>
              <w:rPr>
                <w:rFonts w:ascii="Calibri" w:hAnsi="Calibri"/>
                <w:b/>
                <w:bCs/>
                <w:szCs w:val="22"/>
              </w:rPr>
            </w:pPr>
          </w:p>
          <w:p w14:paraId="3A71DC11" w14:textId="77777777" w:rsidR="00DA3872" w:rsidRDefault="00DA3872" w:rsidP="005933F0">
            <w:pPr>
              <w:pStyle w:val="Header"/>
              <w:jc w:val="both"/>
              <w:rPr>
                <w:rFonts w:ascii="Calibri" w:hAnsi="Calibri"/>
                <w:b/>
                <w:bCs/>
                <w:szCs w:val="22"/>
              </w:rPr>
            </w:pPr>
            <w:r>
              <w:rPr>
                <w:rFonts w:ascii="Calibri" w:hAnsi="Calibri"/>
                <w:b/>
                <w:bCs/>
                <w:szCs w:val="22"/>
              </w:rPr>
              <w:t>Siting</w:t>
            </w:r>
          </w:p>
          <w:p w14:paraId="66A494DA" w14:textId="77777777" w:rsidR="00A96AF8" w:rsidRDefault="00A96AF8" w:rsidP="005933F0">
            <w:pPr>
              <w:pStyle w:val="Header"/>
              <w:jc w:val="both"/>
              <w:rPr>
                <w:rFonts w:ascii="Calibri" w:hAnsi="Calibri"/>
                <w:b/>
                <w:bCs/>
                <w:szCs w:val="22"/>
              </w:rPr>
            </w:pPr>
          </w:p>
          <w:p w14:paraId="41FE1264" w14:textId="4F4CB35A" w:rsidR="00A96AF8" w:rsidRPr="00A96AF8" w:rsidRDefault="00A96AF8" w:rsidP="005933F0">
            <w:pPr>
              <w:pStyle w:val="Header"/>
              <w:jc w:val="both"/>
              <w:rPr>
                <w:rFonts w:ascii="Calibri" w:hAnsi="Calibri"/>
                <w:szCs w:val="22"/>
              </w:rPr>
            </w:pPr>
            <w:r w:rsidRPr="00A96AF8">
              <w:rPr>
                <w:rFonts w:ascii="Calibri" w:hAnsi="Calibri"/>
                <w:szCs w:val="22"/>
              </w:rPr>
              <w:t xml:space="preserve">The proposed development would be sited </w:t>
            </w:r>
            <w:r>
              <w:rPr>
                <w:rFonts w:ascii="Calibri" w:hAnsi="Calibri"/>
                <w:szCs w:val="22"/>
              </w:rPr>
              <w:t>to the rear of main</w:t>
            </w:r>
            <w:r w:rsidRPr="00A96AF8">
              <w:rPr>
                <w:rFonts w:ascii="Calibri" w:hAnsi="Calibri"/>
                <w:szCs w:val="22"/>
              </w:rPr>
              <w:t xml:space="preserve"> farmstead and adjacent to existing agricultural buildings. The proposal would therefore be viewed in an agricultural context and would not read as an incongruous or anomalous addition to the surrounding landscape.</w:t>
            </w:r>
          </w:p>
          <w:p w14:paraId="64E4C69A" w14:textId="77777777" w:rsidR="00DA3872" w:rsidRDefault="00DA3872" w:rsidP="005933F0">
            <w:pPr>
              <w:pStyle w:val="Header"/>
              <w:jc w:val="both"/>
              <w:rPr>
                <w:rFonts w:ascii="Calibri" w:hAnsi="Calibri"/>
                <w:b/>
                <w:bCs/>
                <w:i/>
                <w:iCs/>
                <w:szCs w:val="22"/>
              </w:rPr>
            </w:pPr>
          </w:p>
          <w:p w14:paraId="29B91D5E" w14:textId="51954B40" w:rsidR="00DA3872" w:rsidRPr="001473B2" w:rsidRDefault="00DA3872" w:rsidP="005933F0">
            <w:pPr>
              <w:pStyle w:val="Header"/>
              <w:jc w:val="both"/>
              <w:rPr>
                <w:rFonts w:ascii="Calibri" w:hAnsi="Calibri"/>
                <w:b/>
                <w:bCs/>
                <w:szCs w:val="22"/>
              </w:rPr>
            </w:pPr>
            <w:r w:rsidRPr="001473B2">
              <w:rPr>
                <w:rFonts w:ascii="Calibri" w:hAnsi="Calibri"/>
                <w:b/>
                <w:bCs/>
                <w:szCs w:val="22"/>
              </w:rPr>
              <w:t xml:space="preserve">As such Prior approval </w:t>
            </w:r>
            <w:r>
              <w:rPr>
                <w:rFonts w:ascii="Calibri" w:hAnsi="Calibri"/>
                <w:b/>
                <w:bCs/>
                <w:szCs w:val="22"/>
              </w:rPr>
              <w:t xml:space="preserve">is </w:t>
            </w:r>
            <w:r w:rsidRPr="001473B2">
              <w:rPr>
                <w:rFonts w:ascii="Calibri" w:hAnsi="Calibri"/>
                <w:b/>
                <w:bCs/>
                <w:szCs w:val="22"/>
              </w:rPr>
              <w:t>not required in terms of siting.</w:t>
            </w:r>
          </w:p>
          <w:p w14:paraId="3DA861D6" w14:textId="77777777" w:rsidR="00DA3872" w:rsidRDefault="00DA3872" w:rsidP="005933F0">
            <w:pPr>
              <w:pStyle w:val="Header"/>
              <w:jc w:val="both"/>
              <w:rPr>
                <w:rFonts w:ascii="Calibri" w:hAnsi="Calibri"/>
                <w:b/>
                <w:bCs/>
                <w:szCs w:val="22"/>
              </w:rPr>
            </w:pPr>
          </w:p>
          <w:p w14:paraId="1588EB3B" w14:textId="5CA632F7" w:rsidR="00DA3872" w:rsidRDefault="00DA3872" w:rsidP="005933F0">
            <w:pPr>
              <w:pStyle w:val="Header"/>
              <w:jc w:val="both"/>
              <w:rPr>
                <w:rFonts w:ascii="Calibri" w:hAnsi="Calibri"/>
                <w:b/>
                <w:bCs/>
                <w:szCs w:val="22"/>
              </w:rPr>
            </w:pPr>
            <w:r>
              <w:rPr>
                <w:rFonts w:ascii="Calibri" w:hAnsi="Calibri"/>
                <w:b/>
                <w:bCs/>
                <w:szCs w:val="22"/>
              </w:rPr>
              <w:t>Design / appearance</w:t>
            </w:r>
          </w:p>
          <w:p w14:paraId="242A2A0E" w14:textId="77777777" w:rsidR="00A96AF8" w:rsidRDefault="00A96AF8" w:rsidP="005933F0">
            <w:pPr>
              <w:pStyle w:val="Header"/>
              <w:jc w:val="both"/>
              <w:rPr>
                <w:rFonts w:ascii="Calibri" w:hAnsi="Calibri"/>
                <w:b/>
                <w:bCs/>
                <w:szCs w:val="22"/>
              </w:rPr>
            </w:pPr>
          </w:p>
          <w:p w14:paraId="01B8D005" w14:textId="30448070" w:rsidR="00A96AF8" w:rsidRPr="00CF0566" w:rsidRDefault="00A96AF8" w:rsidP="00CF0566">
            <w:pPr>
              <w:pStyle w:val="Header"/>
              <w:rPr>
                <w:rFonts w:ascii="Calibri" w:hAnsi="Calibri"/>
                <w:szCs w:val="22"/>
              </w:rPr>
            </w:pPr>
            <w:r w:rsidRPr="00A96AF8">
              <w:rPr>
                <w:rFonts w:ascii="Calibri" w:hAnsi="Calibri"/>
                <w:szCs w:val="22"/>
              </w:rPr>
              <w:lastRenderedPageBreak/>
              <w:t>The propos</w:t>
            </w:r>
            <w:r>
              <w:rPr>
                <w:rFonts w:ascii="Calibri" w:hAnsi="Calibri"/>
                <w:szCs w:val="22"/>
              </w:rPr>
              <w:t>ed building</w:t>
            </w:r>
            <w:r w:rsidRPr="00A96AF8">
              <w:rPr>
                <w:rFonts w:ascii="Calibri" w:hAnsi="Calibri"/>
                <w:szCs w:val="22"/>
              </w:rPr>
              <w:t xml:space="preserve"> would utilise traditional agricultural materials, including concrete </w:t>
            </w:r>
            <w:r w:rsidR="00CF0566">
              <w:rPr>
                <w:rFonts w:ascii="Calibri" w:hAnsi="Calibri"/>
                <w:szCs w:val="22"/>
              </w:rPr>
              <w:t xml:space="preserve">panels and green metal cladding to the external elevations and a grey fibre cement roof. The development </w:t>
            </w:r>
            <w:r w:rsidRPr="00A96AF8">
              <w:rPr>
                <w:rFonts w:ascii="Calibri" w:hAnsi="Calibri"/>
                <w:szCs w:val="22"/>
              </w:rPr>
              <w:t>would therefore appear appropriate to its immediate contex</w:t>
            </w:r>
            <w:r w:rsidR="00CF0566">
              <w:rPr>
                <w:rFonts w:ascii="Calibri" w:hAnsi="Calibri"/>
                <w:szCs w:val="22"/>
              </w:rPr>
              <w:t xml:space="preserve">t. </w:t>
            </w:r>
          </w:p>
          <w:p w14:paraId="3475D3EA" w14:textId="77777777" w:rsidR="00DA3872" w:rsidRDefault="00DA3872" w:rsidP="005933F0">
            <w:pPr>
              <w:pStyle w:val="Header"/>
              <w:jc w:val="both"/>
              <w:rPr>
                <w:rFonts w:ascii="Calibri" w:hAnsi="Calibri"/>
                <w:b/>
                <w:bCs/>
                <w:i/>
                <w:iCs/>
                <w:szCs w:val="22"/>
              </w:rPr>
            </w:pPr>
          </w:p>
          <w:p w14:paraId="0452D944" w14:textId="67FAC8CF" w:rsidR="00DA3872" w:rsidRDefault="00DA3872" w:rsidP="005933F0">
            <w:pPr>
              <w:pStyle w:val="Header"/>
              <w:jc w:val="both"/>
              <w:rPr>
                <w:rFonts w:ascii="Calibri" w:hAnsi="Calibri"/>
                <w:b/>
                <w:bCs/>
                <w:szCs w:val="22"/>
              </w:rPr>
            </w:pPr>
            <w:r w:rsidRPr="001473B2">
              <w:rPr>
                <w:rFonts w:ascii="Calibri" w:hAnsi="Calibri"/>
                <w:b/>
                <w:bCs/>
                <w:szCs w:val="22"/>
              </w:rPr>
              <w:t xml:space="preserve">As such Prior approval </w:t>
            </w:r>
            <w:r>
              <w:rPr>
                <w:rFonts w:ascii="Calibri" w:hAnsi="Calibri"/>
                <w:b/>
                <w:bCs/>
                <w:szCs w:val="22"/>
              </w:rPr>
              <w:t>is</w:t>
            </w:r>
            <w:r w:rsidRPr="001473B2">
              <w:rPr>
                <w:rFonts w:ascii="Calibri" w:hAnsi="Calibri"/>
                <w:b/>
                <w:bCs/>
                <w:szCs w:val="22"/>
              </w:rPr>
              <w:t xml:space="preserve"> not required in terms of design and appearance.</w:t>
            </w:r>
          </w:p>
          <w:p w14:paraId="1C8F4091" w14:textId="68AB7484" w:rsidR="001473B2" w:rsidRPr="006F74F0" w:rsidRDefault="001473B2" w:rsidP="005933F0">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4F9BC5C9" w14:textId="77777777" w:rsidR="00A96AF8" w:rsidRPr="00A96AF8" w:rsidRDefault="00A96AF8" w:rsidP="00A96AF8">
            <w:pPr>
              <w:contextualSpacing/>
              <w:jc w:val="both"/>
              <w:rPr>
                <w:rFonts w:asciiTheme="minorHAnsi" w:hAnsiTheme="minorHAnsi" w:cstheme="minorHAnsi"/>
              </w:rPr>
            </w:pPr>
            <w:r w:rsidRPr="00A96AF8">
              <w:rPr>
                <w:rFonts w:asciiTheme="minorHAnsi" w:hAnsiTheme="minorHAnsi" w:cstheme="minorHAnsi"/>
              </w:rPr>
              <w:t xml:space="preserve">The proposed development meets all the criteria set out within Schedule 2, Part 6, Class A of the Town and Country Planning (General Permitted Development) Order 2015 and is therefore defined as permitted development. The siting and design/ appearance would also be considered acceptable for the reasons stated above. As such, prior approval is not required. </w:t>
            </w:r>
          </w:p>
          <w:p w14:paraId="219B4F08" w14:textId="3164611F" w:rsidR="00D5057C" w:rsidRPr="009329EB" w:rsidRDefault="00D5057C" w:rsidP="00A96AF8">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1F096CCD"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CF0566" w:rsidRDefault="00CF0566"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5758F"/>
    <w:rsid w:val="000628C9"/>
    <w:rsid w:val="00063843"/>
    <w:rsid w:val="0008638E"/>
    <w:rsid w:val="000A79B0"/>
    <w:rsid w:val="000B0622"/>
    <w:rsid w:val="000B113E"/>
    <w:rsid w:val="000B30A8"/>
    <w:rsid w:val="000B5CB5"/>
    <w:rsid w:val="000C578C"/>
    <w:rsid w:val="000C7A57"/>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A3558"/>
    <w:rsid w:val="001B398D"/>
    <w:rsid w:val="001B769B"/>
    <w:rsid w:val="001C1453"/>
    <w:rsid w:val="001D4F7A"/>
    <w:rsid w:val="001D5ADD"/>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ADE"/>
    <w:rsid w:val="002C5E9B"/>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0128"/>
    <w:rsid w:val="005631B3"/>
    <w:rsid w:val="005633B0"/>
    <w:rsid w:val="005635FF"/>
    <w:rsid w:val="00573B90"/>
    <w:rsid w:val="005878FE"/>
    <w:rsid w:val="00593040"/>
    <w:rsid w:val="005933F0"/>
    <w:rsid w:val="005A05F8"/>
    <w:rsid w:val="005B0A0E"/>
    <w:rsid w:val="005B1122"/>
    <w:rsid w:val="005B5CB1"/>
    <w:rsid w:val="005C69DF"/>
    <w:rsid w:val="005D3432"/>
    <w:rsid w:val="005E1C6C"/>
    <w:rsid w:val="005E65DF"/>
    <w:rsid w:val="005F1593"/>
    <w:rsid w:val="006126D1"/>
    <w:rsid w:val="00613983"/>
    <w:rsid w:val="006272EB"/>
    <w:rsid w:val="0063238E"/>
    <w:rsid w:val="006326A2"/>
    <w:rsid w:val="006378D3"/>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3888"/>
    <w:rsid w:val="00725F1C"/>
    <w:rsid w:val="0074248C"/>
    <w:rsid w:val="007430C8"/>
    <w:rsid w:val="007522A8"/>
    <w:rsid w:val="00755FCC"/>
    <w:rsid w:val="0076085C"/>
    <w:rsid w:val="00776AE2"/>
    <w:rsid w:val="007849B1"/>
    <w:rsid w:val="00790F64"/>
    <w:rsid w:val="007921CD"/>
    <w:rsid w:val="007938B1"/>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4B76"/>
    <w:rsid w:val="008154DD"/>
    <w:rsid w:val="00817DEC"/>
    <w:rsid w:val="00830B2D"/>
    <w:rsid w:val="008542DE"/>
    <w:rsid w:val="00855835"/>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96AF8"/>
    <w:rsid w:val="00AB1046"/>
    <w:rsid w:val="00AB2C1A"/>
    <w:rsid w:val="00AB3243"/>
    <w:rsid w:val="00AB5232"/>
    <w:rsid w:val="00AD2211"/>
    <w:rsid w:val="00AD661E"/>
    <w:rsid w:val="00AE5112"/>
    <w:rsid w:val="00AE621B"/>
    <w:rsid w:val="00AE6DD8"/>
    <w:rsid w:val="00AF57C1"/>
    <w:rsid w:val="00B14DDC"/>
    <w:rsid w:val="00B23029"/>
    <w:rsid w:val="00B24A29"/>
    <w:rsid w:val="00B30A5E"/>
    <w:rsid w:val="00B31505"/>
    <w:rsid w:val="00B6269C"/>
    <w:rsid w:val="00B671DD"/>
    <w:rsid w:val="00B74C73"/>
    <w:rsid w:val="00B80A47"/>
    <w:rsid w:val="00B843AA"/>
    <w:rsid w:val="00B93EB5"/>
    <w:rsid w:val="00B96F5A"/>
    <w:rsid w:val="00BA11D7"/>
    <w:rsid w:val="00BA2247"/>
    <w:rsid w:val="00BA5D97"/>
    <w:rsid w:val="00BA6B19"/>
    <w:rsid w:val="00BB1C52"/>
    <w:rsid w:val="00BB2A50"/>
    <w:rsid w:val="00BB33D8"/>
    <w:rsid w:val="00BB3F48"/>
    <w:rsid w:val="00BB6B32"/>
    <w:rsid w:val="00BC1E48"/>
    <w:rsid w:val="00BD3F03"/>
    <w:rsid w:val="00BE2E16"/>
    <w:rsid w:val="00BE7BA1"/>
    <w:rsid w:val="00C011C8"/>
    <w:rsid w:val="00C0704D"/>
    <w:rsid w:val="00C106D9"/>
    <w:rsid w:val="00C214A6"/>
    <w:rsid w:val="00C24A51"/>
    <w:rsid w:val="00C25229"/>
    <w:rsid w:val="00C25722"/>
    <w:rsid w:val="00C44E40"/>
    <w:rsid w:val="00C50517"/>
    <w:rsid w:val="00C53B61"/>
    <w:rsid w:val="00C57C79"/>
    <w:rsid w:val="00C618DB"/>
    <w:rsid w:val="00C62571"/>
    <w:rsid w:val="00C6456D"/>
    <w:rsid w:val="00C73F02"/>
    <w:rsid w:val="00C77B68"/>
    <w:rsid w:val="00C93384"/>
    <w:rsid w:val="00CA28BA"/>
    <w:rsid w:val="00CB3F8F"/>
    <w:rsid w:val="00CC2976"/>
    <w:rsid w:val="00CC5179"/>
    <w:rsid w:val="00CD1729"/>
    <w:rsid w:val="00CD2E03"/>
    <w:rsid w:val="00CD38B1"/>
    <w:rsid w:val="00CF0566"/>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DF5F8B"/>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662318875">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751514101">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2372364">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259946809">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Jane Tucker</cp:lastModifiedBy>
  <cp:revision>2</cp:revision>
  <cp:lastPrinted>2021-07-05T14:22:00Z</cp:lastPrinted>
  <dcterms:created xsi:type="dcterms:W3CDTF">2025-04-22T14:51:00Z</dcterms:created>
  <dcterms:modified xsi:type="dcterms:W3CDTF">2025-04-22T14:51:00Z</dcterms:modified>
</cp:coreProperties>
</file>